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6383" w:leader="none"/>
        </w:tabs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Հ Ա Յ Տ Ա Ր Ա Ր ՈՒ Թ Յ ՈՒ Ն</w:t>
      </w:r>
    </w:p>
    <w:p>
      <w:pPr>
        <w:tabs>
          <w:tab w:val="left" w:pos="6383" w:leader="none"/>
        </w:tabs>
        <w:spacing w:before="0" w:after="0" w:line="240"/>
        <w:ind w:right="0" w:left="0" w:firstLine="0"/>
        <w:jc w:val="center"/>
        <w:rPr>
          <w:rFonts w:ascii="Times Armenian" w:hAnsi="Times Armenian" w:cs="Times Armenian" w:eastAsia="Times Armenian"/>
          <w:color w:val="auto"/>
          <w:spacing w:val="0"/>
          <w:position w:val="0"/>
          <w:sz w:val="8"/>
          <w:shd w:fill="auto" w:val="clear"/>
        </w:rPr>
      </w:pPr>
    </w:p>
    <w:p>
      <w:pPr>
        <w:spacing w:before="0" w:after="0" w:line="240"/>
        <w:ind w:right="220" w:left="851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  <w:t xml:space="preserve">Գյումրու քաղաքապետարանի համայնքային սեփականություն հանդիսացող հողամասերի հրապարակային սակարկությունների (աճուրդների)</w:t>
      </w:r>
    </w:p>
    <w:p>
      <w:pPr>
        <w:spacing w:before="0" w:after="0" w:line="240"/>
        <w:ind w:right="220" w:left="851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14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  <w:t xml:space="preserve">Կազմակերպման և անցկացման հանձնաժողովը հայտարարում է համայնքային սեփականություն համարվող ներքոհիշյալ հողամասերի փակ դասական աճուրդ</w:t>
      </w:r>
    </w:p>
    <w:tbl>
      <w:tblPr/>
      <w:tblGrid>
        <w:gridCol w:w="566"/>
        <w:gridCol w:w="2411"/>
        <w:gridCol w:w="1393"/>
        <w:gridCol w:w="1725"/>
        <w:gridCol w:w="2267"/>
        <w:gridCol w:w="1559"/>
        <w:gridCol w:w="1701"/>
        <w:gridCol w:w="2387"/>
        <w:gridCol w:w="2009"/>
      </w:tblGrid>
      <w:tr>
        <w:trPr>
          <w:trHeight w:val="553" w:hRule="auto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iolin" w:hAnsi="Briolin" w:cs="Briolin" w:eastAsia="Briolin"/>
                <w:color w:val="auto"/>
                <w:spacing w:val="0"/>
                <w:position w:val="0"/>
                <w:sz w:val="14"/>
                <w:shd w:fill="auto" w:val="clear"/>
              </w:rPr>
              <w:t xml:space="preserve">№                          </w:t>
            </w:r>
          </w:p>
        </w:tc>
        <w:tc>
          <w:tcPr>
            <w:tcW w:w="2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Հողամասի հասցեն /գտնվելու վայրը/ տարածագնահատման գոտին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u w:val="single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u w:val="single"/>
                <w:shd w:fill="auto" w:val="clear"/>
              </w:rPr>
              <w:t xml:space="preserve">Ծածկագիր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Մակերեսը քառ.մ.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Հողամասի նպատակային և գործառնական նշանակությունը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Հողամասի օգտագործման նպատակը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Հողամասի նկատմամբ սահմանափակում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ների /ներառյալ սերվիտուտների/ առկայությունը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2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Շրջակա միջավայրի և պատմամշակութային հուշարձանների պահպանության,բնապահպանական և հողերի պահպանության միջոցառումները</w:t>
            </w:r>
          </w:p>
        </w:tc>
        <w:tc>
          <w:tcPr>
            <w:tcW w:w="2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Մեկնարկային գինը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/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դրամ/</w:t>
            </w:r>
          </w:p>
        </w:tc>
      </w:tr>
      <w:tr>
        <w:trPr>
          <w:trHeight w:val="607" w:hRule="auto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1.</w:t>
            </w:r>
          </w:p>
        </w:tc>
        <w:tc>
          <w:tcPr>
            <w:tcW w:w="2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Շիրակացի փող., № 13/29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10-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րդ գոտի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u w:val="single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u w:val="single"/>
                <w:shd w:fill="auto" w:val="clear"/>
              </w:rPr>
              <w:t xml:space="preserve">08-001-0346-0089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389,27</w:t>
            </w:r>
          </w:p>
        </w:tc>
        <w:tc>
          <w:tcPr>
            <w:tcW w:w="1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Բնակավայրերի խառը կառուցապատում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Կառուցապատման նպատակով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չկա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չկա</w:t>
            </w:r>
          </w:p>
        </w:tc>
        <w:tc>
          <w:tcPr>
            <w:tcW w:w="2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չի պահանջվում</w:t>
            </w:r>
          </w:p>
        </w:tc>
        <w:tc>
          <w:tcPr>
            <w:tcW w:w="2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2 300 000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Երկու միլիոն երեք հարյուր հազար</w:t>
            </w:r>
          </w:p>
        </w:tc>
      </w:tr>
      <w:tr>
        <w:trPr>
          <w:trHeight w:val="533" w:hRule="auto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2.</w:t>
            </w:r>
          </w:p>
        </w:tc>
        <w:tc>
          <w:tcPr>
            <w:tcW w:w="2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Սավոյան փող.,№ 23/1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10-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րդ գոտի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u w:val="single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u w:val="single"/>
                <w:shd w:fill="auto" w:val="clear"/>
              </w:rPr>
              <w:t xml:space="preserve">08-001-0327-0120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269,28</w:t>
            </w:r>
          </w:p>
        </w:tc>
        <w:tc>
          <w:tcPr>
            <w:tcW w:w="1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Բնակավայրերի խառը կառուցապատում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Անհատական բնակելի տան կառուցում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չկա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չկա</w:t>
            </w:r>
          </w:p>
        </w:tc>
        <w:tc>
          <w:tcPr>
            <w:tcW w:w="2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չի պահանջվում</w:t>
            </w:r>
          </w:p>
        </w:tc>
        <w:tc>
          <w:tcPr>
            <w:tcW w:w="2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1 600</w:t>
            </w:r>
            <w:r>
              <w:rPr>
                <w:rFonts w:ascii="Courier New" w:hAnsi="Courier New" w:cs="Courier New" w:eastAsia="Courier New"/>
                <w:color w:val="auto"/>
                <w:spacing w:val="0"/>
                <w:position w:val="0"/>
                <w:sz w:val="14"/>
                <w:shd w:fill="auto" w:val="clear"/>
              </w:rPr>
              <w:t xml:space="preserve"> 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000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Միլիոն վեց հարյուր հազար</w:t>
            </w:r>
          </w:p>
        </w:tc>
      </w:tr>
      <w:tr>
        <w:trPr>
          <w:trHeight w:val="482" w:hRule="auto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3.</w:t>
            </w:r>
          </w:p>
        </w:tc>
        <w:tc>
          <w:tcPr>
            <w:tcW w:w="2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Ծննդատան փող.,№ 3/10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9-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րդ գոտի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u w:val="single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u w:val="single"/>
                <w:shd w:fill="auto" w:val="clear"/>
              </w:rPr>
              <w:t xml:space="preserve">08-001-1319-0052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47,11</w:t>
            </w:r>
          </w:p>
        </w:tc>
        <w:tc>
          <w:tcPr>
            <w:tcW w:w="1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Բնակավայրերի բնակելի կառուցապատում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Անհատական բնակելի տան կառուցում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չկա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չկա</w:t>
            </w:r>
          </w:p>
        </w:tc>
        <w:tc>
          <w:tcPr>
            <w:tcW w:w="2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չի պահանջվում</w:t>
            </w:r>
          </w:p>
        </w:tc>
        <w:tc>
          <w:tcPr>
            <w:tcW w:w="2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270 </w:t>
            </w:r>
            <w:r>
              <w:rPr>
                <w:rFonts w:ascii="Courier New" w:hAnsi="Courier New" w:cs="Courier New" w:eastAsia="Courier New"/>
                <w:color w:val="auto"/>
                <w:spacing w:val="0"/>
                <w:position w:val="0"/>
                <w:sz w:val="14"/>
                <w:shd w:fill="auto" w:val="clear"/>
              </w:rPr>
              <w:t xml:space="preserve"> 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000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Երկու հարյուր յոթանասուն հազար</w:t>
            </w:r>
          </w:p>
        </w:tc>
      </w:tr>
      <w:tr>
        <w:trPr>
          <w:trHeight w:val="858" w:hRule="auto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Armenian" w:hAnsi="Times Armenian" w:cs="Times Armenian" w:eastAsia="Times Armenian"/>
                <w:color w:val="auto"/>
                <w:spacing w:val="0"/>
                <w:position w:val="0"/>
                <w:sz w:val="14"/>
                <w:shd w:fill="auto" w:val="clear"/>
              </w:rPr>
              <w:t xml:space="preserve">4.</w:t>
            </w:r>
          </w:p>
        </w:tc>
        <w:tc>
          <w:tcPr>
            <w:tcW w:w="2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Չեխովի փող., № 16/1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11-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րդ գոտի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u w:val="single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u w:val="single"/>
                <w:shd w:fill="auto" w:val="clear"/>
              </w:rPr>
              <w:t xml:space="preserve">08-001-1137-0018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326,9</w:t>
            </w:r>
          </w:p>
        </w:tc>
        <w:tc>
          <w:tcPr>
            <w:tcW w:w="1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Բնակավայրերի բնակելի կառուցապատում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Կառուցապատման նպատակով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չկա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չկա</w:t>
            </w:r>
          </w:p>
        </w:tc>
        <w:tc>
          <w:tcPr>
            <w:tcW w:w="2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չի պահանջվում</w:t>
            </w:r>
          </w:p>
        </w:tc>
        <w:tc>
          <w:tcPr>
            <w:tcW w:w="2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1 500 000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Միլիոն հինգ հարյուր հազար</w:t>
            </w:r>
          </w:p>
        </w:tc>
      </w:tr>
      <w:tr>
        <w:trPr>
          <w:trHeight w:val="482" w:hRule="auto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5</w:t>
            </w:r>
            <w:r>
              <w:rPr>
                <w:rFonts w:ascii="Times Armenian" w:hAnsi="Times Armenian" w:cs="Times Armenian" w:eastAsia="Times Armenian"/>
                <w:color w:val="auto"/>
                <w:spacing w:val="0"/>
                <w:position w:val="0"/>
                <w:sz w:val="14"/>
                <w:shd w:fill="auto" w:val="clear"/>
              </w:rPr>
              <w:t xml:space="preserve">.</w:t>
            </w:r>
          </w:p>
        </w:tc>
        <w:tc>
          <w:tcPr>
            <w:tcW w:w="2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Մարմաշենի խճ., № 1/4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10-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րդ գոտի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u w:val="single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u w:val="single"/>
                <w:shd w:fill="auto" w:val="clear"/>
              </w:rPr>
              <w:t xml:space="preserve">08-001-0153-0014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544,52</w:t>
            </w:r>
          </w:p>
        </w:tc>
        <w:tc>
          <w:tcPr>
            <w:tcW w:w="1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Բնակավայրերի բնակելի կառուցապատում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Ավտոկանգառ օգտագործելու նպատակով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չկա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չկա</w:t>
            </w:r>
          </w:p>
        </w:tc>
        <w:tc>
          <w:tcPr>
            <w:tcW w:w="2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չի պահանջվում</w:t>
            </w:r>
          </w:p>
        </w:tc>
        <w:tc>
          <w:tcPr>
            <w:tcW w:w="2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5</w:t>
            </w:r>
            <w:r>
              <w:rPr>
                <w:rFonts w:ascii="Courier New" w:hAnsi="Courier New" w:cs="Courier New" w:eastAsia="Courier New"/>
                <w:color w:val="auto"/>
                <w:spacing w:val="0"/>
                <w:position w:val="0"/>
                <w:sz w:val="14"/>
                <w:shd w:fill="auto" w:val="clear"/>
              </w:rPr>
              <w:t xml:space="preserve"> 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500</w:t>
            </w:r>
            <w:r>
              <w:rPr>
                <w:rFonts w:ascii="Courier New" w:hAnsi="Courier New" w:cs="Courier New" w:eastAsia="Courier New"/>
                <w:color w:val="auto"/>
                <w:spacing w:val="0"/>
                <w:position w:val="0"/>
                <w:sz w:val="14"/>
                <w:shd w:fill="auto" w:val="clear"/>
              </w:rPr>
              <w:t xml:space="preserve"> 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000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Հինգ միլիոն հինգ հարյուր հազար</w:t>
            </w:r>
          </w:p>
        </w:tc>
      </w:tr>
      <w:tr>
        <w:trPr>
          <w:trHeight w:val="482" w:hRule="auto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6</w:t>
            </w:r>
            <w:r>
              <w:rPr>
                <w:rFonts w:ascii="Times Armenian" w:hAnsi="Times Armenian" w:cs="Times Armenian" w:eastAsia="Times Armenian"/>
                <w:color w:val="auto"/>
                <w:spacing w:val="0"/>
                <w:position w:val="0"/>
                <w:sz w:val="14"/>
                <w:shd w:fill="auto" w:val="clear"/>
              </w:rPr>
              <w:t xml:space="preserve">.</w:t>
            </w:r>
          </w:p>
        </w:tc>
        <w:tc>
          <w:tcPr>
            <w:tcW w:w="2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Տիգրան Մեծի պող., № 3/9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9-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րդ գոտի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u w:val="single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u w:val="single"/>
                <w:shd w:fill="auto" w:val="clear"/>
              </w:rPr>
              <w:t xml:space="preserve">08-001-1323-0045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70,2</w:t>
            </w:r>
          </w:p>
        </w:tc>
        <w:tc>
          <w:tcPr>
            <w:tcW w:w="1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Բնակավայրերի բնակելի կառուցապատում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Ավտոկանգառ օգտագործելու նպատակով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չկա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չկա</w:t>
            </w:r>
          </w:p>
        </w:tc>
        <w:tc>
          <w:tcPr>
            <w:tcW w:w="2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չի պահանջվում</w:t>
            </w:r>
          </w:p>
        </w:tc>
        <w:tc>
          <w:tcPr>
            <w:tcW w:w="2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600</w:t>
            </w:r>
            <w:r>
              <w:rPr>
                <w:rFonts w:ascii="Courier New" w:hAnsi="Courier New" w:cs="Courier New" w:eastAsia="Courier New"/>
                <w:color w:val="auto"/>
                <w:spacing w:val="0"/>
                <w:position w:val="0"/>
                <w:sz w:val="14"/>
                <w:shd w:fill="auto" w:val="clear"/>
              </w:rPr>
              <w:t xml:space="preserve"> 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000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վեց հարյուր հազար</w:t>
            </w:r>
          </w:p>
        </w:tc>
      </w:tr>
    </w:tbl>
    <w:p>
      <w:pPr>
        <w:tabs>
          <w:tab w:val="left" w:pos="10348" w:leader="none"/>
        </w:tabs>
        <w:spacing w:before="0" w:after="0" w:line="240"/>
        <w:ind w:right="-48" w:left="567" w:firstLine="0"/>
        <w:jc w:val="both"/>
        <w:rPr>
          <w:rFonts w:ascii="Times Armenian" w:hAnsi="Times Armenian" w:cs="Times Armenian" w:eastAsia="Times Armenian"/>
          <w:color w:val="auto"/>
          <w:spacing w:val="0"/>
          <w:position w:val="0"/>
          <w:sz w:val="10"/>
          <w:shd w:fill="auto" w:val="clear"/>
        </w:rPr>
      </w:pPr>
    </w:p>
    <w:p>
      <w:pPr>
        <w:tabs>
          <w:tab w:val="left" w:pos="10348" w:leader="none"/>
        </w:tabs>
        <w:spacing w:before="0" w:after="0" w:line="240"/>
        <w:ind w:right="-48" w:left="567" w:firstLine="0"/>
        <w:jc w:val="both"/>
        <w:rPr>
          <w:rFonts w:ascii="Times Armenian" w:hAnsi="Times Armenian" w:cs="Times Armenian" w:eastAsia="Times Armenian"/>
          <w:color w:val="auto"/>
          <w:spacing w:val="0"/>
          <w:position w:val="0"/>
          <w:sz w:val="10"/>
          <w:shd w:fill="auto" w:val="clear"/>
        </w:rPr>
      </w:pPr>
    </w:p>
    <w:p>
      <w:pPr>
        <w:tabs>
          <w:tab w:val="left" w:pos="10348" w:leader="none"/>
        </w:tabs>
        <w:spacing w:before="0" w:after="0" w:line="240"/>
        <w:ind w:right="-48" w:left="567" w:firstLine="142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  <w:t xml:space="preserve">Աճուրդի հաղթողները պետք է համամասնօրեն մասնակցեն նախագծային թաղամասի ճանապարհների և ընդհանուր ինժեներական կոմունիկացիոն ցանցերի նախագծման և կառուցման աշխատանքներին:</w:t>
      </w:r>
    </w:p>
    <w:p>
      <w:pPr>
        <w:tabs>
          <w:tab w:val="left" w:pos="10348" w:leader="none"/>
        </w:tabs>
        <w:spacing w:before="0" w:after="0" w:line="240"/>
        <w:ind w:right="-48" w:left="567" w:firstLine="142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  <w:t xml:space="preserve">Աճուրդին մասնակցել ցանկացող անձինք աճուրդի կազմակերպման և անցկացման ընթացակարգի, հողամասերի վերաբերյալ գրաֆիրարան նյութերին կարող են ծանոթանալ Գյումրու քաղաքապետարանում /Վարդանանց հր., 1/, ինչպես նաև Գյումրու քաղաքապետարանի ինտերնետային կայքում՝ </w:t>
      </w:r>
      <w:hyperlink xmlns:r="http://schemas.openxmlformats.org/officeDocument/2006/relationships" r:id="docRId0">
        <w:r>
          <w:rPr>
            <w:rFonts w:ascii="GHEA Grapalat" w:hAnsi="GHEA Grapalat" w:cs="GHEA Grapalat" w:eastAsia="GHEA Grapalat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www.gyumricity.am</w:t>
        </w:r>
      </w:hyperlink>
      <w:r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  <w:t xml:space="preserve">:</w:t>
      </w:r>
    </w:p>
    <w:p>
      <w:pPr>
        <w:tabs>
          <w:tab w:val="left" w:pos="10348" w:leader="none"/>
        </w:tabs>
        <w:spacing w:before="0" w:after="0" w:line="240"/>
        <w:ind w:right="-48" w:left="567" w:firstLine="142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  <w:t xml:space="preserve">Աճուրդին մասնակցելու իրավունք ունեն՝ ՀՀ քաղաքացիներն ու իրավաբանական անձինք և ՀՀ օրենսդրությամբ սահմանված հողի սեփականության իրավունքի այլ սուբյեկտներ և հողօգտագործողներ:</w:t>
      </w:r>
    </w:p>
    <w:p>
      <w:pPr>
        <w:tabs>
          <w:tab w:val="left" w:pos="10348" w:leader="none"/>
        </w:tabs>
        <w:spacing w:before="0" w:after="0" w:line="240"/>
        <w:ind w:right="-48" w:left="567" w:firstLine="142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  <w:t xml:space="preserve">Աճուրդի պայմանների, մանրամասներին՝ հողամասի ելակետային տվյալներին, ճարտարապետահատակագծային առաջադրանքի պահանջներին և պայմաններին, հողամասի հատակագծին, պայմանագրի տիպային օրինակին ծանոթանալու ու հայտ ներկայացնելու համար դիմել Գյումրու քաղաքապետարան /Վարդանանց հր., 1, հեռ. 4-82-44/:</w:t>
      </w:r>
    </w:p>
    <w:p>
      <w:pPr>
        <w:tabs>
          <w:tab w:val="left" w:pos="10348" w:leader="none"/>
        </w:tabs>
        <w:spacing w:before="0" w:after="0" w:line="240"/>
        <w:ind w:right="-48" w:left="567" w:firstLine="142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  <w:t xml:space="preserve">Աճուրդը կայանալու է 2014 թ. ապրիլի 4-ին ժ. 16⁰⁰-ին, Վարդանանց հր., 1, 2-րդ հարկ: Հայտերն ընդունվում են աշխատանքային օրերին՝ մինչև 2014 թ. ապրիլի 1-ը ժ 16⁰⁰-ը:</w:t>
      </w:r>
    </w:p>
    <w:p>
      <w:pPr>
        <w:tabs>
          <w:tab w:val="left" w:pos="10348" w:leader="none"/>
        </w:tabs>
        <w:spacing w:before="0" w:after="0" w:line="240"/>
        <w:ind w:right="-48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10348" w:leader="none"/>
        </w:tabs>
        <w:spacing w:before="0" w:after="0" w:line="240"/>
        <w:ind w:right="-48" w:left="567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ԳՅՈՒՄՐՈՒ ՔԱՂԱՔԱՊԵՏԱՐԱՆ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gyumricity.am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