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6F5FD0">
      <w:pPr>
        <w:jc w:val="center"/>
        <w:rPr>
          <w:sz w:val="28"/>
          <w:szCs w:val="28"/>
          <w:lang w:val="en-GB"/>
        </w:rPr>
      </w:pPr>
      <w:r w:rsidRPr="00CA5035">
        <w:rPr>
          <w:rStyle w:val="Strong"/>
          <w:sz w:val="28"/>
          <w:szCs w:val="28"/>
          <w:lang w:val="en-GB"/>
        </w:rPr>
        <w:t>Contract title</w:t>
      </w:r>
      <w:r w:rsidR="00D2027C" w:rsidRPr="00CA5035">
        <w:rPr>
          <w:rStyle w:val="Strong"/>
          <w:sz w:val="28"/>
          <w:szCs w:val="28"/>
          <w:lang w:val="en-GB"/>
        </w:rPr>
        <w:t>:</w:t>
      </w:r>
      <w:r w:rsidR="00D2027C" w:rsidRPr="00CA5035">
        <w:t xml:space="preserve"> </w:t>
      </w:r>
      <w:r w:rsidR="004C6E39" w:rsidRPr="004C6E39">
        <w:rPr>
          <w:rStyle w:val="Strong"/>
          <w:sz w:val="28"/>
          <w:szCs w:val="28"/>
          <w:lang w:val="en-GB"/>
        </w:rPr>
        <w:t>Conducting face-to-face population baseline, mid-term and follow-up survey, in-depth expert interview, stakeholder mapping and analysis and focus groups</w:t>
      </w:r>
      <w:r w:rsidRPr="00CA5035">
        <w:rPr>
          <w:rStyle w:val="Strong"/>
          <w:sz w:val="28"/>
          <w:szCs w:val="28"/>
          <w:lang w:val="en-GB"/>
        </w:rPr>
        <w:br/>
        <w:t xml:space="preserve">Location </w:t>
      </w:r>
      <w:r w:rsidR="00D2027C" w:rsidRPr="00CA5035">
        <w:rPr>
          <w:rStyle w:val="Strong"/>
          <w:sz w:val="28"/>
          <w:szCs w:val="28"/>
          <w:lang w:val="en-GB"/>
        </w:rPr>
        <w:t>–</w:t>
      </w:r>
      <w:r w:rsidRPr="00CA5035">
        <w:rPr>
          <w:rStyle w:val="Strong"/>
          <w:sz w:val="28"/>
          <w:szCs w:val="28"/>
          <w:lang w:val="en-GB"/>
        </w:rPr>
        <w:t xml:space="preserve"> </w:t>
      </w:r>
      <w:r w:rsidR="00D2027C" w:rsidRPr="00CA5035">
        <w:rPr>
          <w:rStyle w:val="Emphasis"/>
          <w:i w:val="0"/>
          <w:sz w:val="28"/>
          <w:szCs w:val="28"/>
          <w:lang w:val="en-GB"/>
        </w:rPr>
        <w:t>Armenia</w:t>
      </w:r>
      <w:r w:rsidR="00D2027C">
        <w:rPr>
          <w:rStyle w:val="Emphasis"/>
          <w:i w:val="0"/>
          <w:sz w:val="28"/>
          <w:szCs w:val="28"/>
          <w:lang w:val="en-GB"/>
        </w:rPr>
        <w:t>, Vanadzor</w:t>
      </w: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D2027C">
      <w:pPr>
        <w:pStyle w:val="Blockquote"/>
        <w:rPr>
          <w:i/>
          <w:sz w:val="22"/>
          <w:szCs w:val="22"/>
          <w:lang w:val="en-GB"/>
        </w:rPr>
      </w:pPr>
      <w:r w:rsidRPr="00D2027C">
        <w:rPr>
          <w:rStyle w:val="Emphasis"/>
          <w:i w:val="0"/>
          <w:sz w:val="22"/>
          <w:szCs w:val="22"/>
          <w:lang w:val="en-GB"/>
        </w:rPr>
        <w:t>TS/2020/421-733_VM/Ser-31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F60220" w:rsidP="00D2027C">
      <w:pPr>
        <w:pStyle w:val="Blockquote"/>
        <w:ind w:left="0" w:firstLine="360"/>
        <w:jc w:val="both"/>
        <w:rPr>
          <w:sz w:val="22"/>
          <w:szCs w:val="22"/>
          <w:lang w:val="en-GB"/>
        </w:rPr>
      </w:pPr>
      <w:r w:rsidRPr="00CA5035">
        <w:rPr>
          <w:sz w:val="22"/>
          <w:szCs w:val="22"/>
          <w:lang w:val="en-GB"/>
        </w:rPr>
        <w:t>Single tender</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D2027C" w:rsidP="00B33EE6">
      <w:pPr>
        <w:pStyle w:val="PRAGHeading2"/>
        <w:numPr>
          <w:ilvl w:val="0"/>
          <w:numId w:val="0"/>
        </w:numPr>
        <w:ind w:left="357" w:right="357"/>
        <w:rPr>
          <w:lang w:val="en-GB"/>
        </w:rPr>
      </w:pPr>
      <w:r w:rsidRPr="00836F61">
        <w:rPr>
          <w:rStyle w:val="Strong"/>
          <w:b w:val="0"/>
          <w:sz w:val="22"/>
          <w:szCs w:val="22"/>
          <w:lang w:val="en-GB"/>
        </w:rPr>
        <w:t>ABC.GoV: Alliance for Better City Governance</w:t>
      </w:r>
      <w:r w:rsidRPr="00B33EE6">
        <w:rPr>
          <w:lang w:val="en-GB"/>
        </w:rPr>
        <w:t xml:space="preserve">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D2027C" w:rsidRPr="00836F61" w:rsidRDefault="00D2027C" w:rsidP="00D2027C">
      <w:pPr>
        <w:pStyle w:val="Blockquote"/>
        <w:jc w:val="both"/>
        <w:rPr>
          <w:rStyle w:val="Emphasis"/>
          <w:i w:val="0"/>
          <w:sz w:val="22"/>
          <w:szCs w:val="22"/>
          <w:lang w:val="en-GB"/>
        </w:rPr>
      </w:pPr>
      <w:r w:rsidRPr="00836F61">
        <w:rPr>
          <w:rStyle w:val="Emphasis"/>
          <w:i w:val="0"/>
          <w:sz w:val="22"/>
          <w:szCs w:val="22"/>
          <w:lang w:val="en-GB"/>
        </w:rPr>
        <w:t xml:space="preserve">Budget lines: </w:t>
      </w:r>
      <w:r w:rsidRPr="00D279CB">
        <w:rPr>
          <w:rStyle w:val="Emphasis"/>
          <w:i w:val="0"/>
          <w:sz w:val="22"/>
          <w:szCs w:val="22"/>
          <w:lang w:val="en-GB"/>
        </w:rPr>
        <w:t>5.4 Evaluation costs (baseli</w:t>
      </w:r>
      <w:r>
        <w:rPr>
          <w:rStyle w:val="Emphasis"/>
          <w:i w:val="0"/>
          <w:sz w:val="22"/>
          <w:szCs w:val="22"/>
          <w:lang w:val="en-GB"/>
        </w:rPr>
        <w:t>ne, mid-term and follow-up)</w:t>
      </w:r>
    </w:p>
    <w:p w:rsidR="00D2027C" w:rsidRPr="00836F61" w:rsidRDefault="00D2027C" w:rsidP="00D2027C">
      <w:pPr>
        <w:pStyle w:val="PRAGHeading2"/>
        <w:numPr>
          <w:ilvl w:val="0"/>
          <w:numId w:val="0"/>
        </w:numPr>
        <w:ind w:left="360" w:right="357"/>
        <w:rPr>
          <w:sz w:val="22"/>
          <w:szCs w:val="22"/>
        </w:rPr>
      </w:pPr>
      <w:r w:rsidRPr="00836F61">
        <w:rPr>
          <w:sz w:val="22"/>
          <w:szCs w:val="22"/>
        </w:rPr>
        <w:t>Financing agreement: Grant Contract-External Actions of The European Union-</w:t>
      </w:r>
      <w:r w:rsidRPr="00836F61">
        <w:rPr>
          <w:rStyle w:val="Strong"/>
          <w:sz w:val="22"/>
          <w:szCs w:val="22"/>
          <w:lang w:val="en-GB"/>
        </w:rPr>
        <w:t xml:space="preserve"> </w:t>
      </w:r>
      <w:r w:rsidRPr="00836F61">
        <w:rPr>
          <w:sz w:val="22"/>
          <w:szCs w:val="22"/>
        </w:rPr>
        <w:t>NEAR- TS/2020/421-733</w:t>
      </w:r>
    </w:p>
    <w:p w:rsidR="00502217" w:rsidRPr="00B33EE6" w:rsidRDefault="00D2027C" w:rsidP="00D2027C">
      <w:pPr>
        <w:pStyle w:val="PRAGHeading2"/>
        <w:numPr>
          <w:ilvl w:val="0"/>
          <w:numId w:val="0"/>
        </w:numPr>
        <w:ind w:left="360" w:right="357"/>
        <w:rPr>
          <w:sz w:val="22"/>
          <w:szCs w:val="22"/>
          <w:lang w:val="en-GB"/>
        </w:rPr>
      </w:pPr>
      <w:r w:rsidRPr="00836F61">
        <w:rPr>
          <w:sz w:val="22"/>
          <w:szCs w:val="22"/>
        </w:rPr>
        <w:t>Project funded within the frameworks of the contract signed between the European Union, represented by the European Commission, and ''Vanadzor Municipality Staff'' Community Management Institution on 28.12.2020.</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Pr="00D2027C" w:rsidRDefault="00D2027C" w:rsidP="00D2027C">
      <w:pPr>
        <w:ind w:left="357" w:right="357"/>
        <w:jc w:val="both"/>
        <w:rPr>
          <w:rStyle w:val="Emphasis"/>
          <w:i w:val="0"/>
          <w:sz w:val="22"/>
          <w:szCs w:val="22"/>
        </w:rPr>
      </w:pPr>
      <w:r w:rsidRPr="00836F61">
        <w:rPr>
          <w:sz w:val="22"/>
          <w:szCs w:val="22"/>
        </w:rPr>
        <w:t>''Vanadzor Municipality Staff'' Community Management Institution</w:t>
      </w:r>
    </w:p>
    <w:p w:rsidR="006F5FD0" w:rsidRPr="00B33EE6" w:rsidRDefault="00B264A8">
      <w:pPr>
        <w:rPr>
          <w:sz w:val="22"/>
          <w:szCs w:val="22"/>
          <w:lang w:val="en-GB"/>
        </w:rPr>
      </w:pPr>
      <w:r>
        <w:rPr>
          <w:snapToGrid/>
          <w:sz w:val="22"/>
          <w:szCs w:val="22"/>
          <w:lang w:val="en-GB"/>
        </w:rPr>
        <w:pict>
          <v:line id="_x0000_s1027" style="position:absolute;z-index:1"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CA5035">
        <w:rPr>
          <w:rStyle w:val="Emphasis"/>
          <w:i w:val="0"/>
          <w:sz w:val="22"/>
          <w:szCs w:val="22"/>
          <w:lang w:val="en-GB"/>
        </w:rPr>
        <w:t>Fee-based</w:t>
      </w:r>
    </w:p>
    <w:p w:rsidR="006F5FD0" w:rsidRDefault="006F5FD0" w:rsidP="00584BF4">
      <w:pPr>
        <w:ind w:left="709" w:hanging="352"/>
        <w:outlineLvl w:val="0"/>
        <w:rPr>
          <w:rStyle w:val="Strong"/>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11050A" w:rsidRPr="0011050A" w:rsidRDefault="0011050A" w:rsidP="0011050A">
      <w:pPr>
        <w:pStyle w:val="ListParagraph"/>
        <w:numPr>
          <w:ilvl w:val="0"/>
          <w:numId w:val="47"/>
        </w:numPr>
        <w:spacing w:before="240"/>
        <w:jc w:val="both"/>
        <w:rPr>
          <w:rFonts w:ascii="Times New Roman" w:hAnsi="Times New Roman" w:cs="Times New Roman"/>
        </w:rPr>
      </w:pPr>
      <w:r w:rsidRPr="00C22C5B">
        <w:rPr>
          <w:rFonts w:ascii="Times New Roman" w:hAnsi="Times New Roman" w:cs="Times New Roman"/>
          <w:b/>
          <w:u w:val="single"/>
        </w:rPr>
        <w:t>Designing and conducting face-to-face baseline, mid-term and follow-up survey</w:t>
      </w:r>
      <w:r w:rsidRPr="00C22C5B">
        <w:rPr>
          <w:rFonts w:ascii="Times New Roman" w:hAnsi="Times New Roman" w:cs="Times New Roman"/>
        </w:rPr>
        <w:t xml:space="preserve">.  </w:t>
      </w:r>
    </w:p>
    <w:p w:rsidR="0011050A" w:rsidRPr="00C22C5B" w:rsidRDefault="0011050A" w:rsidP="0011050A">
      <w:pPr>
        <w:pStyle w:val="ListParagraph"/>
        <w:numPr>
          <w:ilvl w:val="0"/>
          <w:numId w:val="44"/>
        </w:numPr>
        <w:spacing w:before="240"/>
        <w:ind w:left="284" w:firstLine="142"/>
        <w:jc w:val="both"/>
        <w:rPr>
          <w:rFonts w:ascii="Times New Roman" w:hAnsi="Times New Roman" w:cs="Times New Roman"/>
        </w:rPr>
      </w:pPr>
      <w:r w:rsidRPr="00C22C5B">
        <w:rPr>
          <w:rFonts w:ascii="Times New Roman" w:hAnsi="Times New Roman" w:cs="Times New Roman"/>
        </w:rPr>
        <w:t>Detailed face-to-face population survey methodology including sampling method</w:t>
      </w:r>
    </w:p>
    <w:p w:rsidR="0011050A" w:rsidRPr="00C22C5B" w:rsidRDefault="0011050A" w:rsidP="0011050A">
      <w:pPr>
        <w:pStyle w:val="ListParagraph"/>
        <w:numPr>
          <w:ilvl w:val="0"/>
          <w:numId w:val="44"/>
        </w:numPr>
        <w:ind w:left="284" w:firstLine="142"/>
        <w:jc w:val="both"/>
        <w:rPr>
          <w:rFonts w:ascii="Times New Roman" w:hAnsi="Times New Roman" w:cs="Times New Roman"/>
        </w:rPr>
      </w:pPr>
      <w:r w:rsidRPr="00C22C5B">
        <w:rPr>
          <w:rFonts w:ascii="Times New Roman" w:hAnsi="Times New Roman" w:cs="Times New Roman"/>
        </w:rPr>
        <w:t>Survey questionnaire;</w:t>
      </w:r>
    </w:p>
    <w:p w:rsidR="0011050A" w:rsidRPr="00C22C5B" w:rsidRDefault="0011050A" w:rsidP="0011050A">
      <w:pPr>
        <w:pStyle w:val="ListParagraph"/>
        <w:numPr>
          <w:ilvl w:val="0"/>
          <w:numId w:val="44"/>
        </w:numPr>
        <w:ind w:left="284" w:firstLine="142"/>
        <w:jc w:val="both"/>
        <w:rPr>
          <w:rFonts w:ascii="Times New Roman" w:hAnsi="Times New Roman" w:cs="Times New Roman"/>
        </w:rPr>
      </w:pPr>
      <w:r w:rsidRPr="00C22C5B">
        <w:rPr>
          <w:rFonts w:ascii="Times New Roman" w:hAnsi="Times New Roman" w:cs="Times New Roman"/>
        </w:rPr>
        <w:t>Transcript of in-depth interviews;</w:t>
      </w:r>
    </w:p>
    <w:p w:rsidR="0011050A" w:rsidRPr="00C22C5B" w:rsidRDefault="0011050A" w:rsidP="0011050A">
      <w:pPr>
        <w:pStyle w:val="ListParagraph"/>
        <w:numPr>
          <w:ilvl w:val="0"/>
          <w:numId w:val="44"/>
        </w:numPr>
        <w:ind w:left="284" w:firstLine="142"/>
        <w:jc w:val="both"/>
        <w:rPr>
          <w:rFonts w:ascii="Times New Roman" w:hAnsi="Times New Roman" w:cs="Times New Roman"/>
        </w:rPr>
      </w:pPr>
      <w:r w:rsidRPr="00C22C5B">
        <w:rPr>
          <w:rFonts w:ascii="Times New Roman" w:hAnsi="Times New Roman" w:cs="Times New Roman"/>
        </w:rPr>
        <w:t>Completed database with cleaned data;</w:t>
      </w:r>
    </w:p>
    <w:p w:rsidR="0011050A" w:rsidRPr="00C22C5B" w:rsidRDefault="0011050A" w:rsidP="0011050A">
      <w:pPr>
        <w:pStyle w:val="ListParagraph"/>
        <w:numPr>
          <w:ilvl w:val="0"/>
          <w:numId w:val="44"/>
        </w:numPr>
        <w:ind w:left="284" w:firstLine="142"/>
        <w:jc w:val="both"/>
        <w:rPr>
          <w:rFonts w:ascii="Times New Roman" w:hAnsi="Times New Roman" w:cs="Times New Roman"/>
        </w:rPr>
      </w:pPr>
      <w:r w:rsidRPr="00C22C5B">
        <w:rPr>
          <w:rFonts w:ascii="Times New Roman" w:hAnsi="Times New Roman" w:cs="Times New Roman"/>
        </w:rPr>
        <w:t>Analytical report of the survey including analysis of qualitative and quantitative data, findings and recommendations in Armenian and English;</w:t>
      </w:r>
    </w:p>
    <w:p w:rsidR="0011050A" w:rsidRDefault="0011050A" w:rsidP="0011050A">
      <w:pPr>
        <w:pStyle w:val="ListParagraph"/>
        <w:numPr>
          <w:ilvl w:val="0"/>
          <w:numId w:val="44"/>
        </w:numPr>
        <w:ind w:left="284" w:firstLine="142"/>
        <w:jc w:val="both"/>
        <w:rPr>
          <w:rFonts w:ascii="Times New Roman" w:hAnsi="Times New Roman" w:cs="Times New Roman"/>
        </w:rPr>
      </w:pPr>
      <w:r w:rsidRPr="00C22C5B">
        <w:rPr>
          <w:rFonts w:ascii="Times New Roman" w:hAnsi="Times New Roman" w:cs="Times New Roman"/>
        </w:rPr>
        <w:t>Power-point presentation in Armenian and</w:t>
      </w:r>
      <w:r w:rsidRPr="002A7A08">
        <w:rPr>
          <w:rFonts w:ascii="Times New Roman" w:hAnsi="Times New Roman" w:cs="Times New Roman"/>
        </w:rPr>
        <w:t xml:space="preserve"> English on the assessment results.</w:t>
      </w:r>
    </w:p>
    <w:p w:rsidR="0011050A" w:rsidRDefault="0011050A" w:rsidP="0011050A">
      <w:pPr>
        <w:pStyle w:val="ListParagraph"/>
        <w:ind w:left="426"/>
        <w:jc w:val="both"/>
        <w:rPr>
          <w:rFonts w:ascii="Times New Roman" w:hAnsi="Times New Roman" w:cs="Times New Roman"/>
        </w:rPr>
      </w:pPr>
    </w:p>
    <w:p w:rsidR="0011050A" w:rsidRPr="002A7A08" w:rsidRDefault="0011050A" w:rsidP="0011050A">
      <w:pPr>
        <w:pStyle w:val="ListParagraph"/>
        <w:numPr>
          <w:ilvl w:val="0"/>
          <w:numId w:val="47"/>
        </w:numPr>
        <w:jc w:val="both"/>
        <w:rPr>
          <w:rFonts w:ascii="Times New Roman" w:hAnsi="Times New Roman" w:cs="Times New Roman"/>
          <w:b/>
          <w:u w:val="single"/>
        </w:rPr>
      </w:pPr>
      <w:r w:rsidRPr="002A7A08">
        <w:rPr>
          <w:rFonts w:ascii="Times New Roman" w:hAnsi="Times New Roman" w:cs="Times New Roman"/>
          <w:b/>
          <w:u w:val="single"/>
        </w:rPr>
        <w:lastRenderedPageBreak/>
        <w:t>Stakeholder analysis and mapping</w:t>
      </w:r>
    </w:p>
    <w:p w:rsidR="0011050A" w:rsidRPr="002A7A08" w:rsidRDefault="0011050A" w:rsidP="0011050A">
      <w:pPr>
        <w:pStyle w:val="ListParagraph"/>
        <w:ind w:left="426"/>
        <w:jc w:val="both"/>
        <w:rPr>
          <w:rFonts w:ascii="Times New Roman" w:hAnsi="Times New Roman" w:cs="Times New Roman"/>
        </w:rPr>
      </w:pPr>
    </w:p>
    <w:p w:rsidR="0011050A" w:rsidRPr="002A7A08" w:rsidRDefault="0011050A" w:rsidP="0011050A">
      <w:pPr>
        <w:pStyle w:val="ListParagraph"/>
        <w:numPr>
          <w:ilvl w:val="0"/>
          <w:numId w:val="44"/>
        </w:numPr>
        <w:jc w:val="both"/>
        <w:rPr>
          <w:rFonts w:ascii="Times New Roman" w:hAnsi="Times New Roman" w:cs="Times New Roman"/>
        </w:rPr>
      </w:pPr>
      <w:r w:rsidRPr="002A7A08">
        <w:rPr>
          <w:rFonts w:ascii="Times New Roman" w:hAnsi="Times New Roman" w:cs="Times New Roman"/>
        </w:rPr>
        <w:t>Narrative stakeholder analysis in Armenian and English.</w:t>
      </w:r>
    </w:p>
    <w:p w:rsidR="0011050A" w:rsidRDefault="0011050A" w:rsidP="0011050A">
      <w:pPr>
        <w:pStyle w:val="ListParagraph"/>
        <w:numPr>
          <w:ilvl w:val="0"/>
          <w:numId w:val="44"/>
        </w:numPr>
        <w:jc w:val="both"/>
        <w:rPr>
          <w:rFonts w:ascii="Times New Roman" w:hAnsi="Times New Roman" w:cs="Times New Roman"/>
        </w:rPr>
      </w:pPr>
      <w:r w:rsidRPr="002A7A08">
        <w:rPr>
          <w:rFonts w:ascii="Times New Roman" w:hAnsi="Times New Roman" w:cs="Times New Roman"/>
        </w:rPr>
        <w:t>A spreadsheet and graph/chart in Armenian and English representing the mapping of the stakeholders in Gyumri and Vanadzor per their focus areas.</w:t>
      </w:r>
    </w:p>
    <w:p w:rsidR="0011050A" w:rsidRDefault="0011050A" w:rsidP="0011050A">
      <w:pPr>
        <w:pStyle w:val="ListParagraph"/>
        <w:jc w:val="both"/>
        <w:rPr>
          <w:rFonts w:ascii="Times New Roman" w:hAnsi="Times New Roman" w:cs="Times New Roman"/>
        </w:rPr>
      </w:pPr>
    </w:p>
    <w:p w:rsidR="0011050A" w:rsidRPr="0011050A" w:rsidRDefault="0011050A" w:rsidP="0011050A">
      <w:pPr>
        <w:pStyle w:val="ListParagraph"/>
        <w:numPr>
          <w:ilvl w:val="0"/>
          <w:numId w:val="47"/>
        </w:numPr>
        <w:jc w:val="both"/>
        <w:rPr>
          <w:rFonts w:ascii="Times New Roman" w:hAnsi="Times New Roman" w:cs="Times New Roman"/>
          <w:b/>
          <w:u w:val="single"/>
        </w:rPr>
      </w:pPr>
      <w:r w:rsidRPr="0011050A">
        <w:rPr>
          <w:rFonts w:ascii="Times New Roman" w:hAnsi="Times New Roman" w:cs="Times New Roman"/>
          <w:b/>
          <w:u w:val="single"/>
        </w:rPr>
        <w:t>Focus Group session</w:t>
      </w:r>
    </w:p>
    <w:p w:rsidR="0011050A" w:rsidRDefault="0011050A" w:rsidP="0011050A">
      <w:pPr>
        <w:pStyle w:val="ListParagraph"/>
        <w:jc w:val="both"/>
        <w:rPr>
          <w:rFonts w:ascii="Times New Roman" w:hAnsi="Times New Roman" w:cs="Times New Roman"/>
        </w:rPr>
      </w:pPr>
    </w:p>
    <w:p w:rsidR="0011050A" w:rsidRPr="002A7A08" w:rsidRDefault="0011050A" w:rsidP="0011050A">
      <w:pPr>
        <w:pStyle w:val="ListParagraph"/>
        <w:numPr>
          <w:ilvl w:val="0"/>
          <w:numId w:val="44"/>
        </w:numPr>
        <w:jc w:val="both"/>
        <w:rPr>
          <w:rFonts w:ascii="Times New Roman" w:hAnsi="Times New Roman" w:cs="Times New Roman"/>
        </w:rPr>
      </w:pPr>
      <w:r w:rsidRPr="002A7A08">
        <w:rPr>
          <w:rFonts w:ascii="Times New Roman" w:hAnsi="Times New Roman" w:cs="Times New Roman"/>
        </w:rPr>
        <w:t>Transcripts of the focus group session</w:t>
      </w:r>
    </w:p>
    <w:p w:rsidR="0011050A" w:rsidRPr="0011050A" w:rsidRDefault="0011050A" w:rsidP="0011050A">
      <w:pPr>
        <w:pStyle w:val="ListParagraph"/>
        <w:numPr>
          <w:ilvl w:val="0"/>
          <w:numId w:val="44"/>
        </w:numPr>
        <w:jc w:val="both"/>
        <w:rPr>
          <w:rFonts w:ascii="Times New Roman" w:hAnsi="Times New Roman" w:cs="Times New Roman"/>
        </w:rPr>
      </w:pPr>
      <w:r w:rsidRPr="002A7A08">
        <w:rPr>
          <w:rFonts w:ascii="Times New Roman" w:hAnsi="Times New Roman" w:cs="Times New Roman"/>
        </w:rPr>
        <w:t>Report with recommendations</w:t>
      </w:r>
      <w:r>
        <w:rPr>
          <w:rFonts w:ascii="Times New Roman" w:hAnsi="Times New Roman" w:cs="Times New Roman"/>
        </w:rPr>
        <w:t>.</w:t>
      </w:r>
    </w:p>
    <w:p w:rsidR="006F5FD0" w:rsidRPr="00B33EE6" w:rsidRDefault="006F5FD0">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D2027C">
        <w:rPr>
          <w:rStyle w:val="Emphasis"/>
          <w:i w:val="0"/>
          <w:sz w:val="22"/>
          <w:szCs w:val="22"/>
          <w:lang w:val="en-GB"/>
        </w:rPr>
        <w:t>O</w:t>
      </w:r>
      <w:r w:rsidR="00DA0ABA" w:rsidRPr="00D2027C">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B33EE6" w:rsidRDefault="004C6E39" w:rsidP="00971962">
      <w:pPr>
        <w:pStyle w:val="Blockquote"/>
        <w:jc w:val="both"/>
        <w:rPr>
          <w:sz w:val="22"/>
          <w:szCs w:val="22"/>
          <w:highlight w:val="yellow"/>
          <w:lang w:val="en-GB"/>
        </w:rPr>
      </w:pPr>
      <w:r>
        <w:rPr>
          <w:sz w:val="22"/>
          <w:szCs w:val="22"/>
          <w:u w:val="single"/>
          <w:lang w:val="en-GB"/>
        </w:rPr>
        <w:t>9,401</w:t>
      </w:r>
      <w:r w:rsidR="00D2027C" w:rsidRPr="00D2027C">
        <w:rPr>
          <w:sz w:val="22"/>
          <w:szCs w:val="22"/>
          <w:u w:val="single"/>
          <w:lang w:val="en-GB"/>
        </w:rPr>
        <w:t>,</w:t>
      </w:r>
      <w:r>
        <w:rPr>
          <w:sz w:val="22"/>
          <w:szCs w:val="22"/>
          <w:u w:val="single"/>
          <w:lang w:val="en-GB"/>
        </w:rPr>
        <w:t>7</w:t>
      </w:r>
      <w:r w:rsidR="00D2027C" w:rsidRPr="00D2027C">
        <w:rPr>
          <w:sz w:val="22"/>
          <w:szCs w:val="22"/>
          <w:u w:val="single"/>
          <w:lang w:val="en-GB"/>
        </w:rPr>
        <w:t>00</w:t>
      </w:r>
      <w:r w:rsidR="00D2027C">
        <w:rPr>
          <w:sz w:val="22"/>
          <w:szCs w:val="22"/>
          <w:lang w:val="en-GB"/>
        </w:rPr>
        <w:t xml:space="preserve"> AMD </w:t>
      </w:r>
    </w:p>
    <w:p w:rsidR="006F5FD0" w:rsidRPr="00B33EE6" w:rsidRDefault="00B264A8">
      <w:pPr>
        <w:pStyle w:val="Blockquote"/>
        <w:jc w:val="both"/>
        <w:rPr>
          <w:sz w:val="22"/>
          <w:szCs w:val="22"/>
          <w:lang w:val="en-GB"/>
        </w:rPr>
      </w:pPr>
      <w:r>
        <w:rPr>
          <w:snapToGrid/>
          <w:sz w:val="22"/>
          <w:szCs w:val="22"/>
          <w:lang w:val="en-GB"/>
        </w:rPr>
        <w:pict>
          <v:line id="_x0000_s1028" style="position:absolute;left:0;text-align:left;z-index:2"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Default="001B55CB" w:rsidP="00E147D3">
      <w:pPr>
        <w:widowControl/>
        <w:spacing w:before="360" w:after="360"/>
        <w:ind w:left="426"/>
        <w:jc w:val="both"/>
        <w:rPr>
          <w:sz w:val="22"/>
          <w:szCs w:val="22"/>
          <w:lang w:val="en-GB"/>
        </w:rPr>
      </w:pPr>
      <w:r w:rsidRPr="001B55CB">
        <w:rPr>
          <w:rStyle w:val="normaltextrun"/>
          <w:sz w:val="22"/>
          <w:szCs w:val="22"/>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00D93082" w:rsidRPr="001B55CB">
        <w:rPr>
          <w:sz w:val="22"/>
          <w:szCs w:val="22"/>
          <w:lang w:val="en-GB"/>
        </w:rPr>
        <w:t>.</w:t>
      </w:r>
      <w:bookmarkStart w:id="0" w:name="_DV_M201"/>
      <w:bookmarkEnd w:id="0"/>
    </w:p>
    <w:p w:rsidR="006F5FD0" w:rsidRPr="00B33EE6" w:rsidRDefault="006F5FD0" w:rsidP="00584BF4">
      <w:pPr>
        <w:ind w:left="709" w:hanging="349"/>
        <w:outlineLvl w:val="0"/>
        <w:rPr>
          <w:sz w:val="22"/>
          <w:szCs w:val="22"/>
          <w:lang w:val="en-GB"/>
        </w:rPr>
      </w:pP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B264A8">
      <w:pPr>
        <w:keepNext/>
        <w:jc w:val="center"/>
        <w:rPr>
          <w:sz w:val="28"/>
          <w:szCs w:val="28"/>
          <w:lang w:val="en-GB"/>
        </w:rPr>
      </w:pPr>
      <w:r>
        <w:rPr>
          <w:snapToGrid/>
          <w:sz w:val="22"/>
          <w:szCs w:val="22"/>
          <w:lang w:val="en-GB"/>
        </w:rPr>
        <w:lastRenderedPageBreak/>
        <w:pict>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D304D6" w:rsidP="00571687">
      <w:pPr>
        <w:pStyle w:val="Blockquote"/>
        <w:jc w:val="both"/>
        <w:rPr>
          <w:i/>
          <w:sz w:val="22"/>
          <w:szCs w:val="22"/>
          <w:lang w:val="en-GB"/>
        </w:rPr>
      </w:pPr>
      <w:r>
        <w:rPr>
          <w:rStyle w:val="Emphasis"/>
          <w:i w:val="0"/>
          <w:sz w:val="22"/>
          <w:szCs w:val="22"/>
          <w:lang w:val="en-GB"/>
        </w:rPr>
        <w:t>24</w:t>
      </w:r>
      <w:r w:rsidR="00EF5E1F">
        <w:rPr>
          <w:rStyle w:val="Emphasis"/>
          <w:i w:val="0"/>
          <w:sz w:val="22"/>
          <w:szCs w:val="22"/>
          <w:lang w:val="en-GB"/>
        </w:rPr>
        <w:t xml:space="preserve"> January</w:t>
      </w:r>
      <w:r w:rsidR="00F24094">
        <w:rPr>
          <w:rStyle w:val="Emphasis"/>
          <w:i w:val="0"/>
          <w:sz w:val="22"/>
          <w:szCs w:val="22"/>
          <w:lang w:val="en-GB"/>
        </w:rPr>
        <w:t xml:space="preserve"> 2022</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63310E" w:rsidRDefault="0063310E" w:rsidP="00571687">
      <w:pPr>
        <w:pStyle w:val="Blockquote"/>
        <w:jc w:val="both"/>
        <w:rPr>
          <w:i/>
          <w:sz w:val="22"/>
          <w:szCs w:val="22"/>
        </w:rPr>
      </w:pPr>
      <w:r w:rsidRPr="00EF5E1F">
        <w:rPr>
          <w:sz w:val="22"/>
          <w:szCs w:val="22"/>
        </w:rPr>
        <w:t>The tasks under this contract shall be implemented within 2</w:t>
      </w:r>
      <w:r w:rsidR="00EF5E1F" w:rsidRPr="00EF5E1F">
        <w:rPr>
          <w:sz w:val="22"/>
          <w:szCs w:val="22"/>
        </w:rPr>
        <w:t>5</w:t>
      </w:r>
      <w:r w:rsidRPr="00EF5E1F">
        <w:rPr>
          <w:sz w:val="22"/>
          <w:szCs w:val="22"/>
        </w:rPr>
        <w:t xml:space="preserve"> months. Provisionally, the contract will be signed for 12 months and will be extended automatically beyond that period upon availability of funds by contracting authority.</w:t>
      </w:r>
    </w:p>
    <w:p w:rsidR="006F5FD0" w:rsidRPr="00B33EE6" w:rsidRDefault="00B264A8">
      <w:pPr>
        <w:rPr>
          <w:sz w:val="22"/>
          <w:szCs w:val="22"/>
          <w:lang w:val="en-GB"/>
        </w:rPr>
      </w:pPr>
      <w:r>
        <w:rPr>
          <w:snapToGrid/>
          <w:sz w:val="22"/>
          <w:szCs w:val="22"/>
          <w:lang w:val="en-GB"/>
        </w:rPr>
        <w:pict>
          <v:line id="_x0000_s1030" style="position:absolute;z-index:4"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AF2D9A" w:rsidRDefault="006F5FD0" w:rsidP="00AF2D9A">
      <w:pPr>
        <w:pStyle w:val="Blockquote"/>
        <w:ind w:left="357" w:right="357"/>
        <w:jc w:val="both"/>
        <w:rPr>
          <w:sz w:val="22"/>
          <w:szCs w:val="22"/>
          <w:lang w:val="en-GB"/>
        </w:rPr>
      </w:pPr>
      <w:r w:rsidRPr="00AF2D9A">
        <w:rPr>
          <w:sz w:val="22"/>
          <w:szCs w:val="22"/>
          <w:lang w:val="en-GB"/>
        </w:rPr>
        <w:t xml:space="preserve">The objective of this criterion is to examine whether or not the </w:t>
      </w:r>
      <w:r w:rsidR="005639EC" w:rsidRPr="00AF2D9A">
        <w:rPr>
          <w:sz w:val="22"/>
          <w:szCs w:val="22"/>
          <w:lang w:val="en-GB"/>
        </w:rPr>
        <w:t>tenderer</w:t>
      </w:r>
      <w:r w:rsidRPr="00AF2D9A">
        <w:rPr>
          <w:sz w:val="22"/>
          <w:szCs w:val="22"/>
          <w:lang w:val="en-GB"/>
        </w:rPr>
        <w:t xml:space="preserve"> (i</w:t>
      </w:r>
      <w:r w:rsidR="00235A71" w:rsidRPr="00AF2D9A">
        <w:rPr>
          <w:sz w:val="22"/>
          <w:szCs w:val="22"/>
          <w:lang w:val="en-GB"/>
        </w:rPr>
        <w:t>.</w:t>
      </w:r>
      <w:r w:rsidRPr="00AF2D9A">
        <w:rPr>
          <w:sz w:val="22"/>
          <w:szCs w:val="22"/>
          <w:lang w:val="en-GB"/>
        </w:rPr>
        <w:t>e</w:t>
      </w:r>
      <w:r w:rsidR="00235A71" w:rsidRPr="00AF2D9A">
        <w:rPr>
          <w:sz w:val="22"/>
          <w:szCs w:val="22"/>
          <w:lang w:val="en-GB"/>
        </w:rPr>
        <w:t>.</w:t>
      </w:r>
      <w:r w:rsidRPr="00AF2D9A">
        <w:rPr>
          <w:sz w:val="22"/>
          <w:szCs w:val="22"/>
          <w:lang w:val="en-GB"/>
        </w:rPr>
        <w:t xml:space="preserve"> the consortium as a whole, in the case of a </w:t>
      </w:r>
      <w:r w:rsidR="005639EC" w:rsidRPr="00AF2D9A">
        <w:rPr>
          <w:sz w:val="22"/>
          <w:szCs w:val="22"/>
          <w:lang w:val="en-GB"/>
        </w:rPr>
        <w:t>tender</w:t>
      </w:r>
      <w:r w:rsidRPr="00AF2D9A">
        <w:rPr>
          <w:sz w:val="22"/>
          <w:szCs w:val="22"/>
          <w:lang w:val="en-GB"/>
        </w:rPr>
        <w:t xml:space="preserve"> from a consortium):</w:t>
      </w:r>
    </w:p>
    <w:p w:rsidR="006F5FD0" w:rsidRPr="00AF2D9A" w:rsidRDefault="006F5FD0" w:rsidP="00AF2D9A">
      <w:pPr>
        <w:pStyle w:val="Blockquote"/>
        <w:numPr>
          <w:ilvl w:val="0"/>
          <w:numId w:val="34"/>
        </w:numPr>
        <w:tabs>
          <w:tab w:val="clear" w:pos="360"/>
          <w:tab w:val="num" w:pos="720"/>
        </w:tabs>
        <w:ind w:left="714" w:right="357" w:hanging="357"/>
        <w:jc w:val="both"/>
        <w:rPr>
          <w:sz w:val="22"/>
          <w:szCs w:val="22"/>
          <w:lang w:val="en-GB"/>
        </w:rPr>
      </w:pPr>
      <w:r w:rsidRPr="00AF2D9A">
        <w:rPr>
          <w:sz w:val="22"/>
          <w:szCs w:val="22"/>
          <w:lang w:val="en-GB"/>
        </w:rPr>
        <w:t xml:space="preserve">will not be economically dependent on the </w:t>
      </w:r>
      <w:r w:rsidR="00513F0F" w:rsidRPr="00AF2D9A">
        <w:rPr>
          <w:sz w:val="22"/>
          <w:szCs w:val="22"/>
          <w:lang w:val="en-GB"/>
        </w:rPr>
        <w:t>c</w:t>
      </w:r>
      <w:r w:rsidRPr="00AF2D9A">
        <w:rPr>
          <w:sz w:val="22"/>
          <w:szCs w:val="22"/>
          <w:lang w:val="en-GB"/>
        </w:rPr>
        <w:t xml:space="preserve">ontracting </w:t>
      </w:r>
      <w:r w:rsidR="00513F0F" w:rsidRPr="00AF2D9A">
        <w:rPr>
          <w:sz w:val="22"/>
          <w:szCs w:val="22"/>
          <w:lang w:val="en-GB"/>
        </w:rPr>
        <w:t>a</w:t>
      </w:r>
      <w:r w:rsidRPr="00AF2D9A">
        <w:rPr>
          <w:sz w:val="22"/>
          <w:szCs w:val="22"/>
          <w:lang w:val="en-GB"/>
        </w:rPr>
        <w:t>uthority in the event that the contract is awarded to it; and</w:t>
      </w:r>
    </w:p>
    <w:p w:rsidR="006F5FD0" w:rsidRDefault="006F5FD0" w:rsidP="00AF2D9A">
      <w:pPr>
        <w:pStyle w:val="Blockquote"/>
        <w:numPr>
          <w:ilvl w:val="0"/>
          <w:numId w:val="35"/>
        </w:numPr>
        <w:tabs>
          <w:tab w:val="clear" w:pos="360"/>
          <w:tab w:val="num" w:pos="720"/>
        </w:tabs>
        <w:ind w:left="720"/>
        <w:jc w:val="both"/>
        <w:rPr>
          <w:sz w:val="22"/>
          <w:szCs w:val="22"/>
          <w:lang w:val="en-GB"/>
        </w:rPr>
      </w:pPr>
      <w:r w:rsidRPr="00AF2D9A">
        <w:rPr>
          <w:sz w:val="22"/>
          <w:szCs w:val="22"/>
          <w:lang w:val="en-GB"/>
        </w:rPr>
        <w:t>has sufficient financial stability to handle the proposed contract.</w:t>
      </w:r>
    </w:p>
    <w:p w:rsidR="00BB4B9C" w:rsidRPr="00D279CB" w:rsidRDefault="00BB4B9C" w:rsidP="00BB4B9C">
      <w:pPr>
        <w:pStyle w:val="Blockquote"/>
        <w:numPr>
          <w:ilvl w:val="0"/>
          <w:numId w:val="36"/>
        </w:numPr>
        <w:tabs>
          <w:tab w:val="clear" w:pos="360"/>
          <w:tab w:val="num" w:pos="720"/>
        </w:tabs>
        <w:ind w:left="720"/>
        <w:jc w:val="both"/>
        <w:rPr>
          <w:sz w:val="22"/>
          <w:szCs w:val="22"/>
          <w:lang w:val="en-GB"/>
        </w:rPr>
      </w:pPr>
      <w:r w:rsidRPr="00D279CB">
        <w:rPr>
          <w:sz w:val="22"/>
          <w:szCs w:val="22"/>
          <w:lang w:val="en-GB"/>
        </w:rPr>
        <w:t>the available financial resources of the tenderer</w:t>
      </w:r>
      <w:r>
        <w:rPr>
          <w:sz w:val="22"/>
          <w:szCs w:val="22"/>
          <w:lang w:val="en-GB"/>
        </w:rPr>
        <w:t xml:space="preserve"> must exceed </w:t>
      </w:r>
      <w:r w:rsidRPr="00D279CB">
        <w:rPr>
          <w:sz w:val="22"/>
          <w:szCs w:val="22"/>
          <w:lang w:val="en-GB"/>
        </w:rPr>
        <w:t>the annualised maximum budget of the contract.</w:t>
      </w:r>
    </w:p>
    <w:p w:rsidR="00BB4B9C" w:rsidRPr="00D279CB" w:rsidRDefault="00BB4B9C" w:rsidP="00BB4B9C">
      <w:pPr>
        <w:pStyle w:val="Blockquote"/>
        <w:numPr>
          <w:ilvl w:val="0"/>
          <w:numId w:val="37"/>
        </w:numPr>
        <w:tabs>
          <w:tab w:val="clear" w:pos="360"/>
          <w:tab w:val="num" w:pos="720"/>
        </w:tabs>
        <w:ind w:left="720"/>
        <w:jc w:val="both"/>
        <w:rPr>
          <w:sz w:val="22"/>
          <w:szCs w:val="22"/>
          <w:lang w:val="en-GB"/>
        </w:rPr>
      </w:pPr>
      <w:r w:rsidRPr="00D279CB">
        <w:rPr>
          <w:sz w:val="22"/>
          <w:szCs w:val="22"/>
          <w:lang w:val="en-GB"/>
        </w:rPr>
        <w:t>the financial situation of the tenderer should not be in deficit, taken into account debts, at the beginning and end of year.</w:t>
      </w:r>
    </w:p>
    <w:p w:rsidR="00BB4B9C" w:rsidRPr="00D279CB" w:rsidRDefault="00BB4B9C" w:rsidP="00BB4B9C">
      <w:pPr>
        <w:pStyle w:val="Blockquote"/>
        <w:numPr>
          <w:ilvl w:val="0"/>
          <w:numId w:val="37"/>
        </w:numPr>
        <w:tabs>
          <w:tab w:val="clear" w:pos="360"/>
          <w:tab w:val="num" w:pos="720"/>
        </w:tabs>
        <w:ind w:left="720"/>
        <w:jc w:val="both"/>
        <w:rPr>
          <w:sz w:val="22"/>
          <w:szCs w:val="22"/>
          <w:lang w:val="en-GB"/>
        </w:rPr>
      </w:pPr>
      <w:r w:rsidRPr="00D279CB">
        <w:rPr>
          <w:sz w:val="22"/>
          <w:szCs w:val="22"/>
          <w:lang w:val="en-GB"/>
        </w:rPr>
        <w:t xml:space="preserve">The available financial resources of the tenderer must exceed the annualised maximum budget of the contract </w:t>
      </w:r>
    </w:p>
    <w:p w:rsidR="00BB4B9C" w:rsidRPr="00D279CB" w:rsidRDefault="00BB4B9C" w:rsidP="00BB4B9C">
      <w:pPr>
        <w:pStyle w:val="Blockquote"/>
        <w:numPr>
          <w:ilvl w:val="0"/>
          <w:numId w:val="37"/>
        </w:numPr>
        <w:tabs>
          <w:tab w:val="clear" w:pos="360"/>
          <w:tab w:val="num" w:pos="720"/>
        </w:tabs>
        <w:ind w:left="720"/>
        <w:jc w:val="both"/>
        <w:rPr>
          <w:sz w:val="22"/>
          <w:szCs w:val="22"/>
          <w:lang w:val="en-GB"/>
        </w:rPr>
      </w:pPr>
      <w:r w:rsidRPr="00D279CB">
        <w:rPr>
          <w:sz w:val="22"/>
          <w:szCs w:val="22"/>
          <w:lang w:val="en-GB"/>
        </w:rPr>
        <w:t>Current ratio (current assets/current liabilities) in the last year for which accounts have been closed must be at least 1. In case of a consortium this criterion must be fulfilled by each member.</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6F5FD0" w:rsidRPr="00CA5035" w:rsidRDefault="006F5FD0" w:rsidP="00CA5035">
      <w:pPr>
        <w:pStyle w:val="Blockquote"/>
        <w:jc w:val="both"/>
        <w:rPr>
          <w:sz w:val="22"/>
          <w:szCs w:val="22"/>
          <w:lang w:val="en-GB"/>
        </w:rPr>
      </w:pPr>
      <w:r w:rsidRPr="00CA5035">
        <w:rPr>
          <w:sz w:val="22"/>
          <w:szCs w:val="22"/>
          <w:lang w:val="en-GB"/>
        </w:rPr>
        <w:t xml:space="preserve">The objective of this criterion is to examine whether or not the </w:t>
      </w:r>
      <w:r w:rsidR="005639EC" w:rsidRPr="00CA5035">
        <w:rPr>
          <w:sz w:val="22"/>
          <w:szCs w:val="22"/>
          <w:lang w:val="en-GB"/>
        </w:rPr>
        <w:t>tenderer</w:t>
      </w:r>
      <w:r w:rsidRPr="00CA5035">
        <w:rPr>
          <w:sz w:val="22"/>
          <w:szCs w:val="22"/>
          <w:lang w:val="en-GB"/>
        </w:rPr>
        <w:t xml:space="preserve"> (</w:t>
      </w:r>
      <w:r w:rsidR="007727F3" w:rsidRPr="00CA5035">
        <w:rPr>
          <w:sz w:val="22"/>
          <w:szCs w:val="22"/>
          <w:lang w:val="en-GB"/>
        </w:rPr>
        <w:t>i.e.</w:t>
      </w:r>
      <w:r w:rsidRPr="00CA5035">
        <w:rPr>
          <w:sz w:val="22"/>
          <w:szCs w:val="22"/>
          <w:lang w:val="en-GB"/>
        </w:rPr>
        <w:t xml:space="preserve"> the consortium as a whole, in the case of a </w:t>
      </w:r>
      <w:r w:rsidR="005639EC" w:rsidRPr="00CA5035">
        <w:rPr>
          <w:sz w:val="22"/>
          <w:szCs w:val="22"/>
          <w:lang w:val="en-GB"/>
        </w:rPr>
        <w:t>tenderer</w:t>
      </w:r>
      <w:r w:rsidRPr="00CA5035">
        <w:rPr>
          <w:sz w:val="22"/>
          <w:szCs w:val="22"/>
          <w:lang w:val="en-GB"/>
        </w:rPr>
        <w:t xml:space="preserve"> from a consortium):</w:t>
      </w:r>
    </w:p>
    <w:p w:rsidR="006F5FD0" w:rsidRDefault="006F5FD0" w:rsidP="00CA5035">
      <w:pPr>
        <w:pStyle w:val="Blockquote"/>
        <w:numPr>
          <w:ilvl w:val="0"/>
          <w:numId w:val="34"/>
        </w:numPr>
        <w:tabs>
          <w:tab w:val="clear" w:pos="360"/>
          <w:tab w:val="num" w:pos="720"/>
        </w:tabs>
        <w:ind w:left="720"/>
        <w:jc w:val="both"/>
        <w:rPr>
          <w:sz w:val="22"/>
          <w:szCs w:val="22"/>
          <w:lang w:val="en-GB"/>
        </w:rPr>
      </w:pPr>
      <w:r w:rsidRPr="00CA5035">
        <w:rPr>
          <w:sz w:val="22"/>
          <w:szCs w:val="22"/>
          <w:lang w:val="en-GB"/>
        </w:rPr>
        <w:lastRenderedPageBreak/>
        <w:t>has sufficient ongoing staff resources and expertise to be able to handle the proposed contract</w:t>
      </w:r>
      <w:r w:rsidR="00CA5035" w:rsidRPr="00CA5035">
        <w:rPr>
          <w:sz w:val="22"/>
          <w:szCs w:val="22"/>
          <w:lang w:val="en-GB"/>
        </w:rPr>
        <w:t>.</w:t>
      </w:r>
    </w:p>
    <w:p w:rsidR="00BB4B9C" w:rsidRPr="00D279CB" w:rsidRDefault="00BB4B9C" w:rsidP="00BB4B9C">
      <w:pPr>
        <w:pStyle w:val="Blockquote"/>
        <w:numPr>
          <w:ilvl w:val="0"/>
          <w:numId w:val="34"/>
        </w:numPr>
        <w:tabs>
          <w:tab w:val="clear" w:pos="360"/>
          <w:tab w:val="num" w:pos="720"/>
        </w:tabs>
        <w:ind w:left="720"/>
        <w:jc w:val="both"/>
        <w:rPr>
          <w:sz w:val="22"/>
          <w:szCs w:val="22"/>
          <w:lang w:val="en-GB"/>
        </w:rPr>
      </w:pPr>
      <w:r w:rsidRPr="00D279CB">
        <w:rPr>
          <w:sz w:val="22"/>
          <w:szCs w:val="22"/>
          <w:lang w:val="en-GB"/>
        </w:rPr>
        <w:t>is not a so-called ‘body shop’, i.e. a tenderer with no real expertise in fields related to the contract but which simply identifies and proposes experts to fit the service contract description</w:t>
      </w:r>
    </w:p>
    <w:p w:rsidR="00BB4B9C" w:rsidRPr="00BB4B9C" w:rsidRDefault="00BB4B9C" w:rsidP="00BB4B9C">
      <w:pPr>
        <w:pStyle w:val="Blockquote"/>
        <w:numPr>
          <w:ilvl w:val="0"/>
          <w:numId w:val="34"/>
        </w:numPr>
        <w:tabs>
          <w:tab w:val="clear" w:pos="360"/>
          <w:tab w:val="num" w:pos="720"/>
        </w:tabs>
        <w:ind w:left="720"/>
        <w:jc w:val="both"/>
        <w:rPr>
          <w:sz w:val="22"/>
          <w:szCs w:val="22"/>
          <w:lang w:val="en-GB"/>
        </w:rPr>
      </w:pPr>
      <w:r w:rsidRPr="00D279CB">
        <w:rPr>
          <w:sz w:val="22"/>
          <w:szCs w:val="22"/>
          <w:lang w:val="en-GB"/>
        </w:rPr>
        <w:t xml:space="preserve">experience in provision of technical assistance and consultancy during last </w:t>
      </w:r>
      <w:r w:rsidRPr="00402FA9">
        <w:rPr>
          <w:sz w:val="22"/>
          <w:szCs w:val="22"/>
          <w:lang w:val="en-GB"/>
        </w:rPr>
        <w:t>3</w:t>
      </w:r>
      <w:r w:rsidRPr="00D279CB">
        <w:rPr>
          <w:sz w:val="22"/>
          <w:szCs w:val="22"/>
          <w:lang w:val="en-GB"/>
        </w:rPr>
        <w:t xml:space="preserve"> (three) to the EU/USAID projects or other</w:t>
      </w:r>
      <w:r>
        <w:rPr>
          <w:sz w:val="22"/>
          <w:szCs w:val="22"/>
          <w:lang w:val="en-GB"/>
        </w:rPr>
        <w:t xml:space="preserve"> </w:t>
      </w:r>
      <w:r w:rsidRPr="00D279CB">
        <w:rPr>
          <w:sz w:val="22"/>
          <w:szCs w:val="22"/>
          <w:lang w:val="en-GB"/>
        </w:rPr>
        <w:t>international projects, waste management, urban planning, public transportation.</w:t>
      </w:r>
    </w:p>
    <w:p w:rsidR="00BE08EC" w:rsidRPr="00CA5035" w:rsidRDefault="00571687" w:rsidP="00CA5035">
      <w:pPr>
        <w:pStyle w:val="Blockquote"/>
        <w:ind w:left="720" w:right="357" w:hanging="360"/>
        <w:jc w:val="both"/>
        <w:rPr>
          <w:sz w:val="22"/>
          <w:szCs w:val="22"/>
          <w:lang w:val="en-GB"/>
        </w:rPr>
      </w:pPr>
      <w:r w:rsidRPr="00CA5035">
        <w:rPr>
          <w:b/>
          <w:sz w:val="22"/>
          <w:szCs w:val="22"/>
          <w:u w:val="single"/>
          <w:lang w:val="en-GB"/>
        </w:rPr>
        <w:t>3)</w:t>
      </w:r>
      <w:r w:rsidRPr="00CA5035">
        <w:rPr>
          <w:b/>
          <w:sz w:val="22"/>
          <w:szCs w:val="22"/>
          <w:u w:val="single"/>
          <w:lang w:val="en-GB"/>
        </w:rPr>
        <w:tab/>
      </w:r>
      <w:r w:rsidR="006F5FD0" w:rsidRPr="00CA5035">
        <w:rPr>
          <w:b/>
          <w:sz w:val="22"/>
          <w:szCs w:val="22"/>
          <w:u w:val="single"/>
          <w:lang w:val="en-GB"/>
        </w:rPr>
        <w:t xml:space="preserve">Technical capacity of </w:t>
      </w:r>
      <w:r w:rsidR="00C03AF5" w:rsidRPr="00CA5035">
        <w:rPr>
          <w:b/>
          <w:sz w:val="22"/>
          <w:szCs w:val="22"/>
          <w:u w:val="single"/>
          <w:lang w:val="en-GB"/>
        </w:rPr>
        <w:t>tenderer</w:t>
      </w:r>
      <w:r w:rsidR="006F5FD0" w:rsidRPr="00CA5035">
        <w:rPr>
          <w:b/>
          <w:sz w:val="22"/>
          <w:szCs w:val="22"/>
          <w:u w:val="single"/>
          <w:lang w:val="en-GB"/>
        </w:rPr>
        <w:t xml:space="preserve"> </w:t>
      </w:r>
      <w:r w:rsidR="00087A72" w:rsidRPr="00CA5035">
        <w:rPr>
          <w:sz w:val="22"/>
          <w:szCs w:val="22"/>
          <w:lang w:val="en-GB"/>
        </w:rPr>
        <w:t>(</w:t>
      </w:r>
      <w:r w:rsidR="006F5FD0" w:rsidRPr="00CA5035">
        <w:rPr>
          <w:sz w:val="22"/>
          <w:szCs w:val="22"/>
          <w:lang w:val="en-GB"/>
        </w:rPr>
        <w:t xml:space="preserve">based on items 5 and 6 of the </w:t>
      </w:r>
      <w:r w:rsidR="00994EA3" w:rsidRPr="00CA5035">
        <w:rPr>
          <w:sz w:val="22"/>
          <w:szCs w:val="22"/>
          <w:lang w:val="en-GB"/>
        </w:rPr>
        <w:t>tender</w:t>
      </w:r>
      <w:r w:rsidR="006F5FD0" w:rsidRPr="00CA5035">
        <w:rPr>
          <w:sz w:val="22"/>
          <w:szCs w:val="22"/>
          <w:lang w:val="en-GB"/>
        </w:rPr>
        <w:t xml:space="preserve"> form</w:t>
      </w:r>
      <w:r w:rsidR="00087A72" w:rsidRPr="00CA5035">
        <w:rPr>
          <w:sz w:val="22"/>
          <w:szCs w:val="22"/>
          <w:lang w:val="en-GB"/>
        </w:rPr>
        <w:t>)</w:t>
      </w:r>
      <w:r w:rsidR="00BE08EC" w:rsidRPr="00CA5035">
        <w:rPr>
          <w:sz w:val="22"/>
          <w:szCs w:val="22"/>
          <w:lang w:val="en-GB"/>
        </w:rPr>
        <w:t>. The reference period which will be taken into account will be the last three</w:t>
      </w:r>
      <w:r w:rsidR="00862885" w:rsidRPr="00CA5035">
        <w:rPr>
          <w:sz w:val="22"/>
          <w:szCs w:val="22"/>
          <w:lang w:val="en-GB"/>
        </w:rPr>
        <w:t xml:space="preserve"> years </w:t>
      </w:r>
      <w:r w:rsidR="00771F97" w:rsidRPr="00CA5035">
        <w:rPr>
          <w:sz w:val="22"/>
          <w:szCs w:val="22"/>
          <w:lang w:val="en-GB"/>
        </w:rPr>
        <w:t>preceding the</w:t>
      </w:r>
      <w:r w:rsidR="00BE08EC" w:rsidRPr="00CA5035">
        <w:rPr>
          <w:sz w:val="22"/>
          <w:szCs w:val="22"/>
          <w:lang w:val="en-GB"/>
        </w:rPr>
        <w:t xml:space="preserve"> submission deadline.</w:t>
      </w:r>
    </w:p>
    <w:p w:rsidR="00235A71" w:rsidRDefault="006F5FD0" w:rsidP="00CA5035">
      <w:pPr>
        <w:pStyle w:val="Blockquote"/>
        <w:tabs>
          <w:tab w:val="left" w:pos="426"/>
        </w:tabs>
        <w:jc w:val="both"/>
        <w:rPr>
          <w:sz w:val="22"/>
          <w:szCs w:val="22"/>
          <w:lang w:val="en-GB"/>
        </w:rPr>
      </w:pPr>
      <w:r w:rsidRPr="00CA5035">
        <w:rPr>
          <w:sz w:val="22"/>
          <w:szCs w:val="22"/>
          <w:lang w:val="en-GB"/>
        </w:rPr>
        <w:t xml:space="preserve">The objective of this criterion is to examine whether or not the </w:t>
      </w:r>
      <w:r w:rsidR="00994EA3" w:rsidRPr="00CA5035">
        <w:rPr>
          <w:sz w:val="22"/>
          <w:szCs w:val="22"/>
          <w:lang w:val="en-GB"/>
        </w:rPr>
        <w:t>tenderer</w:t>
      </w:r>
      <w:r w:rsidRPr="00CA5035">
        <w:rPr>
          <w:sz w:val="22"/>
          <w:szCs w:val="22"/>
          <w:lang w:val="en-GB"/>
        </w:rPr>
        <w:t xml:space="preserve"> (</w:t>
      </w:r>
      <w:r w:rsidR="006D330F" w:rsidRPr="00CA5035">
        <w:rPr>
          <w:sz w:val="22"/>
          <w:szCs w:val="22"/>
          <w:lang w:val="en-GB"/>
        </w:rPr>
        <w:t>i.e.</w:t>
      </w:r>
      <w:r w:rsidRPr="00CA5035">
        <w:rPr>
          <w:sz w:val="22"/>
          <w:szCs w:val="22"/>
          <w:lang w:val="en-GB"/>
        </w:rPr>
        <w:t xml:space="preserve"> the consortium as a whole, in the case of a </w:t>
      </w:r>
      <w:r w:rsidR="00994EA3" w:rsidRPr="00CA5035">
        <w:rPr>
          <w:sz w:val="22"/>
          <w:szCs w:val="22"/>
          <w:lang w:val="en-GB"/>
        </w:rPr>
        <w:t>tender</w:t>
      </w:r>
      <w:r w:rsidRPr="00CA5035">
        <w:rPr>
          <w:sz w:val="22"/>
          <w:szCs w:val="22"/>
          <w:lang w:val="en-GB"/>
        </w:rPr>
        <w:t xml:space="preserve"> from a consortium)</w:t>
      </w:r>
      <w:r w:rsidR="00BE08EC" w:rsidRPr="00CA5035">
        <w:rPr>
          <w:sz w:val="22"/>
          <w:szCs w:val="22"/>
          <w:lang w:val="en-GB"/>
        </w:rPr>
        <w:t xml:space="preserve"> </w:t>
      </w:r>
      <w:r w:rsidRPr="00CA5035">
        <w:rPr>
          <w:sz w:val="22"/>
          <w:szCs w:val="22"/>
          <w:lang w:val="en-GB"/>
        </w:rPr>
        <w:t>has sufficient expertise and experience to be able to handle the proposed contract</w:t>
      </w:r>
      <w:r w:rsidR="00BE08EC" w:rsidRPr="00CA5035">
        <w:rPr>
          <w:sz w:val="22"/>
          <w:szCs w:val="22"/>
          <w:lang w:val="en-GB"/>
        </w:rPr>
        <w:t>.</w:t>
      </w:r>
    </w:p>
    <w:p w:rsidR="00EF5E1F" w:rsidRDefault="00EF5E1F" w:rsidP="00BB4B9C">
      <w:pPr>
        <w:pStyle w:val="Blockquote"/>
        <w:numPr>
          <w:ilvl w:val="0"/>
          <w:numId w:val="34"/>
        </w:numPr>
        <w:tabs>
          <w:tab w:val="clear" w:pos="360"/>
          <w:tab w:val="num" w:pos="720"/>
        </w:tabs>
        <w:ind w:left="709" w:hanging="283"/>
        <w:jc w:val="both"/>
        <w:rPr>
          <w:sz w:val="22"/>
          <w:szCs w:val="22"/>
          <w:lang w:val="en-GB"/>
        </w:rPr>
      </w:pPr>
      <w:r>
        <w:rPr>
          <w:color w:val="222222"/>
          <w:sz w:val="22"/>
          <w:szCs w:val="22"/>
          <w:shd w:val="clear" w:color="auto" w:fill="FFFFFF"/>
          <w:lang w:val="en-GB"/>
        </w:rPr>
        <w:t>the tenderer has provided services under at least 3 contracts last 5 (</w:t>
      </w:r>
      <w:r>
        <w:rPr>
          <w:color w:val="222222"/>
          <w:sz w:val="22"/>
          <w:szCs w:val="22"/>
          <w:shd w:val="clear" w:color="auto" w:fill="FFFFFF"/>
        </w:rPr>
        <w:t>five</w:t>
      </w:r>
      <w:r>
        <w:rPr>
          <w:color w:val="222222"/>
          <w:sz w:val="22"/>
          <w:szCs w:val="22"/>
          <w:shd w:val="clear" w:color="auto" w:fill="FFFFFF"/>
          <w:lang w:val="en-GB"/>
        </w:rPr>
        <w:t>) years  with a budget of at least that of this contract in the fields of  </w:t>
      </w:r>
      <w:r>
        <w:rPr>
          <w:rStyle w:val="Strong"/>
          <w:b w:val="0"/>
          <w:bCs/>
          <w:color w:val="222222"/>
          <w:sz w:val="22"/>
          <w:szCs w:val="22"/>
          <w:shd w:val="clear" w:color="auto" w:fill="FFFFFF"/>
          <w:lang w:val="en-GB"/>
        </w:rPr>
        <w:t>conducting ba</w:t>
      </w:r>
      <w:bookmarkStart w:id="14" w:name="_GoBack"/>
      <w:bookmarkEnd w:id="14"/>
      <w:r>
        <w:rPr>
          <w:rStyle w:val="Strong"/>
          <w:b w:val="0"/>
          <w:bCs/>
          <w:color w:val="222222"/>
          <w:sz w:val="22"/>
          <w:szCs w:val="22"/>
          <w:shd w:val="clear" w:color="auto" w:fill="FFFFFF"/>
          <w:lang w:val="en-GB"/>
        </w:rPr>
        <w:t>seline, mid-term and follow-up assessments</w:t>
      </w:r>
      <w:r>
        <w:rPr>
          <w:color w:val="222222"/>
          <w:sz w:val="22"/>
          <w:szCs w:val="22"/>
          <w:shd w:val="clear" w:color="auto" w:fill="FFFFFF"/>
          <w:lang w:val="en-GB"/>
        </w:rPr>
        <w:t>, which were implemented at any moment during the following period: 2017 December 28 -2021 December 28.</w:t>
      </w:r>
      <w:r w:rsidRPr="00D279CB">
        <w:rPr>
          <w:sz w:val="22"/>
          <w:szCs w:val="22"/>
          <w:lang w:val="en-GB"/>
        </w:rPr>
        <w:t xml:space="preserve"> </w:t>
      </w:r>
    </w:p>
    <w:p w:rsidR="00BB4B9C" w:rsidRPr="00D279CB" w:rsidRDefault="00BB4B9C" w:rsidP="00BB4B9C">
      <w:pPr>
        <w:pStyle w:val="Blockquote"/>
        <w:numPr>
          <w:ilvl w:val="0"/>
          <w:numId w:val="34"/>
        </w:numPr>
        <w:tabs>
          <w:tab w:val="clear" w:pos="360"/>
          <w:tab w:val="num" w:pos="720"/>
        </w:tabs>
        <w:ind w:left="709" w:hanging="283"/>
        <w:jc w:val="both"/>
        <w:rPr>
          <w:sz w:val="22"/>
          <w:szCs w:val="22"/>
          <w:lang w:val="en-GB"/>
        </w:rPr>
      </w:pPr>
      <w:r w:rsidRPr="00D279CB">
        <w:rPr>
          <w:sz w:val="22"/>
          <w:szCs w:val="22"/>
          <w:lang w:val="en-GB"/>
        </w:rPr>
        <w:t>The tenderer has technical capacity to carry out the technical assistance under this contract: operating office space, necessary office equipment (computers, printers, copiers, multi-media projector), stable internet connection.</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w:t>
      </w:r>
      <w:r w:rsidR="00CA5035">
        <w:rPr>
          <w:sz w:val="22"/>
          <w:szCs w:val="22"/>
          <w:lang w:val="en-GB"/>
        </w:rPr>
        <w:t xml:space="preserve"> the latter will perform the </w:t>
      </w:r>
      <w:r w:rsidR="00CF759C" w:rsidRPr="00B33EE6">
        <w:rPr>
          <w:sz w:val="22"/>
          <w:szCs w:val="22"/>
          <w:lang w:val="en-GB"/>
        </w:rPr>
        <w:t>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B264A8">
      <w:pPr>
        <w:rPr>
          <w:sz w:val="22"/>
          <w:szCs w:val="22"/>
          <w:lang w:val="en-GB"/>
        </w:rPr>
      </w:pPr>
      <w:r>
        <w:rPr>
          <w:snapToGrid/>
          <w:sz w:val="22"/>
          <w:szCs w:val="22"/>
          <w:lang w:val="en-GB"/>
        </w:rPr>
        <w:pict>
          <v:line id="_x0000_s1031" style="position:absolute;z-index:5"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lastRenderedPageBreak/>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B264A8"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794A92" w:rsidRPr="00B33EE6" w:rsidRDefault="00794A92" w:rsidP="00E147D3">
      <w:pPr>
        <w:pStyle w:val="Blockquote"/>
        <w:spacing w:before="120" w:after="0"/>
        <w:ind w:left="426" w:right="310"/>
        <w:jc w:val="both"/>
        <w:rPr>
          <w:sz w:val="22"/>
          <w:szCs w:val="22"/>
          <w:lang w:val="en-GB"/>
        </w:rPr>
      </w:pPr>
      <w:r w:rsidRPr="00CA5035">
        <w:rPr>
          <w:sz w:val="22"/>
          <w:szCs w:val="22"/>
          <w:lang w:val="en-GB"/>
        </w:rPr>
        <w:t xml:space="preserve">Regulation or other instrument under which this contract is to be financed - See Annex A2 of the </w:t>
      </w:r>
      <w:r w:rsidR="00D33DD9" w:rsidRPr="00CA5035">
        <w:rPr>
          <w:sz w:val="22"/>
          <w:szCs w:val="22"/>
          <w:lang w:val="en-GB"/>
        </w:rPr>
        <w:t>p</w:t>
      </w:r>
      <w:r w:rsidRPr="00CA5035">
        <w:rPr>
          <w:sz w:val="22"/>
          <w:szCs w:val="22"/>
          <w:lang w:val="en-GB"/>
        </w:rPr>
        <w:t xml:space="preserve">ractical </w:t>
      </w:r>
      <w:r w:rsidR="00D33DD9" w:rsidRPr="00CA5035">
        <w:rPr>
          <w:sz w:val="22"/>
          <w:szCs w:val="22"/>
          <w:lang w:val="en-GB"/>
        </w:rPr>
        <w:t>g</w:t>
      </w:r>
      <w:r w:rsidRPr="00CA5035">
        <w:rPr>
          <w:sz w:val="22"/>
          <w:szCs w:val="22"/>
          <w:lang w:val="en-GB"/>
        </w:rPr>
        <w:t>uide</w:t>
      </w:r>
      <w:r w:rsidR="00502BBF" w:rsidRPr="00CA5035">
        <w:rPr>
          <w:sz w:val="22"/>
          <w:szCs w:val="22"/>
          <w:lang w:val="en-GB"/>
        </w:rPr>
        <w:t>.</w:t>
      </w: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E9047D" w:rsidRPr="00F9055E" w:rsidRDefault="00AF412E" w:rsidP="00CA5035">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sidR="00CA5035">
        <w:rPr>
          <w:lang w:val="en-GB"/>
        </w:rPr>
        <w:t>standard application form</w:t>
      </w:r>
      <w:r>
        <w:rPr>
          <w:lang w:val="en-GB"/>
        </w:rPr>
        <w:t xml:space="preserve"> must be expressed in</w:t>
      </w:r>
      <w:r w:rsidR="00CA5035">
        <w:rPr>
          <w:lang w:val="en-GB"/>
        </w:rPr>
        <w:t xml:space="preserve"> AMD.</w:t>
      </w:r>
    </w:p>
    <w:p w:rsidR="007F6AA9" w:rsidRPr="00F9055E" w:rsidRDefault="007F6AA9" w:rsidP="00235A71">
      <w:pPr>
        <w:pStyle w:val="Blockquote"/>
        <w:jc w:val="both"/>
        <w:rPr>
          <w:sz w:val="22"/>
          <w:szCs w:val="22"/>
          <w:lang w:val="en-GB"/>
        </w:rPr>
      </w:pPr>
    </w:p>
    <w:sectPr w:rsidR="007F6AA9" w:rsidRPr="00F9055E" w:rsidSect="00E147D3">
      <w:footerReference w:type="default" r:id="rId10"/>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4A8" w:rsidRDefault="00B264A8">
      <w:r>
        <w:separator/>
      </w:r>
    </w:p>
  </w:endnote>
  <w:endnote w:type="continuationSeparator" w:id="0">
    <w:p w:rsidR="00B264A8" w:rsidRDefault="00B2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D304D6">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D304D6">
      <w:rPr>
        <w:rStyle w:val="PageNumber"/>
        <w:noProof/>
        <w:sz w:val="18"/>
        <w:szCs w:val="18"/>
        <w:lang w:val="en-GB"/>
      </w:rPr>
      <w:t>5</w:t>
    </w:r>
    <w:r w:rsidR="00B33EE6" w:rsidRPr="00B33EE6">
      <w:rPr>
        <w:rStyle w:val="PageNumber"/>
        <w:sz w:val="18"/>
        <w:szCs w:val="18"/>
        <w:lang w:val="en-GB"/>
      </w:rPr>
      <w:fldChar w:fldCharType="end"/>
    </w:r>
  </w:p>
  <w:p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4A8" w:rsidRDefault="00B264A8">
      <w:r>
        <w:separator/>
      </w:r>
    </w:p>
  </w:footnote>
  <w:footnote w:type="continuationSeparator" w:id="0">
    <w:p w:rsidR="00B264A8" w:rsidRDefault="00B264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4C257460"/>
    <w:multiLevelType w:val="hybridMultilevel"/>
    <w:tmpl w:val="B6D46A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5CBB45DA"/>
    <w:multiLevelType w:val="hybridMultilevel"/>
    <w:tmpl w:val="1A36DE62"/>
    <w:lvl w:ilvl="0" w:tplc="04090001">
      <w:start w:val="1"/>
      <w:numFmt w:val="bullet"/>
      <w:lvlText w:val=""/>
      <w:lvlJc w:val="left"/>
      <w:pPr>
        <w:ind w:left="720" w:hanging="360"/>
      </w:pPr>
      <w:rPr>
        <w:rFonts w:ascii="Symbol" w:hAnsi="Symbol" w:hint="default"/>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5EA77F34"/>
    <w:multiLevelType w:val="hybridMultilevel"/>
    <w:tmpl w:val="4418B184"/>
    <w:lvl w:ilvl="0" w:tplc="FF2A837A">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B7631AE"/>
    <w:multiLevelType w:val="hybridMultilevel"/>
    <w:tmpl w:val="5E681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0"/>
  </w:num>
  <w:num w:numId="35">
    <w:abstractNumId w:val="34"/>
  </w:num>
  <w:num w:numId="36">
    <w:abstractNumId w:val="33"/>
  </w:num>
  <w:num w:numId="37">
    <w:abstractNumId w:val="36"/>
  </w:num>
  <w:num w:numId="38">
    <w:abstractNumId w:val="38"/>
  </w:num>
  <w:num w:numId="39">
    <w:abstractNumId w:val="43"/>
  </w:num>
  <w:num w:numId="40">
    <w:abstractNumId w:val="46"/>
  </w:num>
  <w:num w:numId="41">
    <w:abstractNumId w:val="39"/>
  </w:num>
  <w:num w:numId="42">
    <w:abstractNumId w:val="42"/>
  </w:num>
  <w:num w:numId="43">
    <w:abstractNumId w:val="37"/>
  </w:num>
  <w:num w:numId="44">
    <w:abstractNumId w:val="44"/>
  </w:num>
  <w:num w:numId="45">
    <w:abstractNumId w:val="47"/>
  </w:num>
  <w:num w:numId="46">
    <w:abstractNumId w:val="41"/>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6431B"/>
    <w:rsid w:val="00087A72"/>
    <w:rsid w:val="00095030"/>
    <w:rsid w:val="00095C43"/>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1050A"/>
    <w:rsid w:val="0013314C"/>
    <w:rsid w:val="0014405E"/>
    <w:rsid w:val="00145CFA"/>
    <w:rsid w:val="00150687"/>
    <w:rsid w:val="001661F7"/>
    <w:rsid w:val="00171F2E"/>
    <w:rsid w:val="00180D47"/>
    <w:rsid w:val="001903F3"/>
    <w:rsid w:val="001951FE"/>
    <w:rsid w:val="001A59BB"/>
    <w:rsid w:val="001B2571"/>
    <w:rsid w:val="001B55CB"/>
    <w:rsid w:val="001C21A2"/>
    <w:rsid w:val="001C64F1"/>
    <w:rsid w:val="001D19A6"/>
    <w:rsid w:val="001D45EE"/>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58B0"/>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3F402C"/>
    <w:rsid w:val="0040360C"/>
    <w:rsid w:val="004108A4"/>
    <w:rsid w:val="00424124"/>
    <w:rsid w:val="0043533D"/>
    <w:rsid w:val="00452ED8"/>
    <w:rsid w:val="0045494F"/>
    <w:rsid w:val="004567DF"/>
    <w:rsid w:val="00472630"/>
    <w:rsid w:val="00473883"/>
    <w:rsid w:val="00476D80"/>
    <w:rsid w:val="004850B4"/>
    <w:rsid w:val="004855DD"/>
    <w:rsid w:val="004901C2"/>
    <w:rsid w:val="004957E5"/>
    <w:rsid w:val="004A137B"/>
    <w:rsid w:val="004C21CC"/>
    <w:rsid w:val="004C49B2"/>
    <w:rsid w:val="004C6E39"/>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3FBB"/>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359F"/>
    <w:rsid w:val="0061336A"/>
    <w:rsid w:val="006309DE"/>
    <w:rsid w:val="00632BDC"/>
    <w:rsid w:val="0063310E"/>
    <w:rsid w:val="0064390B"/>
    <w:rsid w:val="00663C6D"/>
    <w:rsid w:val="006714ED"/>
    <w:rsid w:val="00671507"/>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5135"/>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74F39"/>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0C1A"/>
    <w:rsid w:val="008C3178"/>
    <w:rsid w:val="008C68A0"/>
    <w:rsid w:val="008D1243"/>
    <w:rsid w:val="008D3E45"/>
    <w:rsid w:val="008D4FBF"/>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46C1"/>
    <w:rsid w:val="00AE1D8D"/>
    <w:rsid w:val="00AE4633"/>
    <w:rsid w:val="00AE6A5B"/>
    <w:rsid w:val="00AF0B6B"/>
    <w:rsid w:val="00AF2D9A"/>
    <w:rsid w:val="00AF412E"/>
    <w:rsid w:val="00AF7BB3"/>
    <w:rsid w:val="00B00363"/>
    <w:rsid w:val="00B063F9"/>
    <w:rsid w:val="00B06D60"/>
    <w:rsid w:val="00B112A1"/>
    <w:rsid w:val="00B14398"/>
    <w:rsid w:val="00B200AF"/>
    <w:rsid w:val="00B264A8"/>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B4B9C"/>
    <w:rsid w:val="00BC353E"/>
    <w:rsid w:val="00BD65BA"/>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497"/>
    <w:rsid w:val="00C316FC"/>
    <w:rsid w:val="00C3644F"/>
    <w:rsid w:val="00C36666"/>
    <w:rsid w:val="00C43AAC"/>
    <w:rsid w:val="00C460D8"/>
    <w:rsid w:val="00C61B8C"/>
    <w:rsid w:val="00C712DE"/>
    <w:rsid w:val="00C836E5"/>
    <w:rsid w:val="00C83C65"/>
    <w:rsid w:val="00C840D0"/>
    <w:rsid w:val="00C867B9"/>
    <w:rsid w:val="00CA3B1B"/>
    <w:rsid w:val="00CA5035"/>
    <w:rsid w:val="00CB23E3"/>
    <w:rsid w:val="00CB759D"/>
    <w:rsid w:val="00CB7AAE"/>
    <w:rsid w:val="00CC0A41"/>
    <w:rsid w:val="00CC3BA0"/>
    <w:rsid w:val="00CC48C9"/>
    <w:rsid w:val="00CD765A"/>
    <w:rsid w:val="00CE49A1"/>
    <w:rsid w:val="00CF759C"/>
    <w:rsid w:val="00D00216"/>
    <w:rsid w:val="00D011CD"/>
    <w:rsid w:val="00D14A9D"/>
    <w:rsid w:val="00D17A30"/>
    <w:rsid w:val="00D2027C"/>
    <w:rsid w:val="00D225CC"/>
    <w:rsid w:val="00D22682"/>
    <w:rsid w:val="00D227E9"/>
    <w:rsid w:val="00D240C3"/>
    <w:rsid w:val="00D2786B"/>
    <w:rsid w:val="00D304D6"/>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F04F0"/>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7EB7"/>
    <w:rsid w:val="00ED5FA0"/>
    <w:rsid w:val="00EE0A07"/>
    <w:rsid w:val="00EE6E92"/>
    <w:rsid w:val="00EF03C9"/>
    <w:rsid w:val="00EF0A8C"/>
    <w:rsid w:val="00EF5E1F"/>
    <w:rsid w:val="00EF6A28"/>
    <w:rsid w:val="00EF6FBF"/>
    <w:rsid w:val="00F014D9"/>
    <w:rsid w:val="00F05BF1"/>
    <w:rsid w:val="00F07EE2"/>
    <w:rsid w:val="00F1778E"/>
    <w:rsid w:val="00F17A90"/>
    <w:rsid w:val="00F233FF"/>
    <w:rsid w:val="00F24094"/>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uiPriority w:val="22"/>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ListParagraph">
    <w:name w:val="List Paragraph"/>
    <w:basedOn w:val="Normal"/>
    <w:uiPriority w:val="34"/>
    <w:qFormat/>
    <w:rsid w:val="0011050A"/>
    <w:pPr>
      <w:widowControl/>
      <w:spacing w:before="0" w:after="0"/>
      <w:ind w:left="720"/>
    </w:pPr>
    <w:rPr>
      <w:rFonts w:ascii="Calibri" w:eastAsia="Calibri" w:hAnsi="Calibri" w:cs="Calibri"/>
      <w:snapToGrid/>
      <w:sz w:val="22"/>
      <w:szCs w:val="22"/>
      <w:lang w:val="en-GB" w:eastAsia="en-GB"/>
    </w:rPr>
  </w:style>
  <w:style w:type="character" w:customStyle="1" w:styleId="normaltextrun">
    <w:name w:val="normaltextrun"/>
    <w:rsid w:val="001B5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356E4-65F3-440F-9346-D6F4EC3D1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1605</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10739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Dell</cp:lastModifiedBy>
  <cp:revision>23</cp:revision>
  <cp:lastPrinted>2016-05-31T08:36:00Z</cp:lastPrinted>
  <dcterms:created xsi:type="dcterms:W3CDTF">2020-04-15T15:51:00Z</dcterms:created>
  <dcterms:modified xsi:type="dcterms:W3CDTF">2021-12-28T12:35:00Z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