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36FE" w:rsidRPr="002B370E" w:rsidRDefault="00B327C3">
      <w:pPr>
        <w:pStyle w:val="Subtitle"/>
        <w:spacing w:after="240"/>
        <w:rPr>
          <w:lang w:val="en-GB"/>
        </w:rPr>
      </w:pPr>
      <w:r>
        <w:rPr>
          <w:lang w:val="en-GB"/>
        </w:rPr>
        <w:t xml:space="preserve">REFERENCE: </w:t>
      </w:r>
      <w:r w:rsidRPr="00B327C3">
        <w:rPr>
          <w:lang w:val="en-GB"/>
        </w:rPr>
        <w:t>TS/2020/421-733_VM/Ser-31</w:t>
      </w:r>
    </w:p>
    <w:p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996707" w:rsidRPr="005D1583">
          <w:rPr>
            <w:rStyle w:val="Hyperlink"/>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rsidR="003436FE" w:rsidRPr="002B370E" w:rsidRDefault="003436FE">
            <w:pPr>
              <w:jc w:val="center"/>
              <w:rPr>
                <w:b/>
                <w:sz w:val="22"/>
                <w:szCs w:val="22"/>
              </w:rPr>
            </w:pPr>
            <w:r w:rsidRPr="002B370E">
              <w:rPr>
                <w:b/>
                <w:sz w:val="22"/>
                <w:szCs w:val="22"/>
              </w:rPr>
              <w:t>TIME*</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rsidR="003436FE" w:rsidRPr="002B370E" w:rsidRDefault="00520C9F">
            <w:pPr>
              <w:spacing w:before="120" w:after="120"/>
              <w:jc w:val="center"/>
              <w:rPr>
                <w:sz w:val="22"/>
                <w:szCs w:val="22"/>
              </w:rPr>
            </w:pPr>
            <w:r>
              <w:rPr>
                <w:sz w:val="22"/>
                <w:szCs w:val="22"/>
              </w:rPr>
              <w:t>7</w:t>
            </w:r>
            <w:r w:rsidR="00A91BDC">
              <w:rPr>
                <w:sz w:val="22"/>
                <w:szCs w:val="22"/>
              </w:rPr>
              <w:t xml:space="preserve"> January 2022</w:t>
            </w:r>
          </w:p>
        </w:tc>
        <w:tc>
          <w:tcPr>
            <w:tcW w:w="1572" w:type="dxa"/>
          </w:tcPr>
          <w:p w:rsidR="003436FE" w:rsidRPr="002B370E" w:rsidRDefault="002176BB" w:rsidP="00D271AE">
            <w:pPr>
              <w:spacing w:before="120" w:after="120"/>
              <w:jc w:val="center"/>
              <w:rPr>
                <w:sz w:val="22"/>
                <w:szCs w:val="22"/>
              </w:rPr>
            </w:pPr>
            <w:r>
              <w:rPr>
                <w:sz w:val="22"/>
                <w:szCs w:val="22"/>
              </w:rPr>
              <w:t>1</w:t>
            </w:r>
            <w:r w:rsidR="00D271AE">
              <w:rPr>
                <w:sz w:val="22"/>
                <w:szCs w:val="22"/>
              </w:rPr>
              <w:t>7</w:t>
            </w:r>
            <w:r>
              <w:rPr>
                <w:sz w:val="22"/>
                <w:szCs w:val="22"/>
              </w:rPr>
              <w:t>:00</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rsidR="003436FE" w:rsidRPr="002B370E" w:rsidRDefault="00520C9F">
            <w:pPr>
              <w:spacing w:before="120" w:after="120"/>
              <w:jc w:val="center"/>
              <w:rPr>
                <w:sz w:val="22"/>
                <w:szCs w:val="22"/>
              </w:rPr>
            </w:pPr>
            <w:r>
              <w:rPr>
                <w:sz w:val="22"/>
                <w:szCs w:val="22"/>
              </w:rPr>
              <w:t>12</w:t>
            </w:r>
            <w:r w:rsidR="00A91BDC">
              <w:rPr>
                <w:sz w:val="22"/>
                <w:szCs w:val="22"/>
              </w:rPr>
              <w:t xml:space="preserve"> January 2022</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rsidR="003436FE" w:rsidRPr="002B370E" w:rsidRDefault="00FF1D05" w:rsidP="00A91BDC">
            <w:pPr>
              <w:spacing w:before="120" w:after="120"/>
              <w:jc w:val="center"/>
              <w:rPr>
                <w:sz w:val="22"/>
                <w:szCs w:val="22"/>
              </w:rPr>
            </w:pPr>
            <w:r>
              <w:rPr>
                <w:sz w:val="22"/>
                <w:szCs w:val="22"/>
              </w:rPr>
              <w:t>14</w:t>
            </w:r>
            <w:r w:rsidR="00A91BDC">
              <w:rPr>
                <w:sz w:val="22"/>
                <w:szCs w:val="22"/>
              </w:rPr>
              <w:t xml:space="preserve"> January 2022</w:t>
            </w:r>
          </w:p>
        </w:tc>
        <w:tc>
          <w:tcPr>
            <w:tcW w:w="1572" w:type="dxa"/>
          </w:tcPr>
          <w:p w:rsidR="003436FE" w:rsidRPr="002B370E" w:rsidRDefault="00FB620D" w:rsidP="00A91BDC">
            <w:pPr>
              <w:spacing w:before="120" w:after="120"/>
              <w:jc w:val="center"/>
              <w:rPr>
                <w:sz w:val="22"/>
                <w:szCs w:val="22"/>
              </w:rPr>
            </w:pPr>
            <w:r>
              <w:rPr>
                <w:sz w:val="22"/>
                <w:szCs w:val="22"/>
              </w:rPr>
              <w:t>17:00</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sidRPr="002B370E">
              <w:rPr>
                <w:b/>
                <w:sz w:val="22"/>
                <w:szCs w:val="22"/>
              </w:rPr>
              <w:t>Interviews (if any)</w:t>
            </w:r>
          </w:p>
        </w:tc>
        <w:tc>
          <w:tcPr>
            <w:tcW w:w="1972" w:type="dxa"/>
          </w:tcPr>
          <w:p w:rsidR="003436FE" w:rsidRPr="002B370E" w:rsidRDefault="00FB620D" w:rsidP="003436FE">
            <w:pPr>
              <w:spacing w:before="120" w:after="120"/>
              <w:jc w:val="center"/>
              <w:rPr>
                <w:sz w:val="22"/>
                <w:szCs w:val="22"/>
              </w:rPr>
            </w:pPr>
            <w:r>
              <w:rPr>
                <w:sz w:val="22"/>
                <w:szCs w:val="22"/>
              </w:rPr>
              <w:t>-</w:t>
            </w:r>
          </w:p>
        </w:tc>
        <w:tc>
          <w:tcPr>
            <w:tcW w:w="1572" w:type="dxa"/>
          </w:tcPr>
          <w:p w:rsidR="003436FE" w:rsidRPr="002B370E" w:rsidRDefault="003436FE" w:rsidP="003436FE">
            <w:pPr>
              <w:spacing w:before="120" w:after="120"/>
              <w:jc w:val="center"/>
              <w:rPr>
                <w:sz w:val="22"/>
                <w:szCs w:val="22"/>
              </w:rPr>
            </w:pPr>
            <w:r w:rsidRPr="002B370E">
              <w:rPr>
                <w:sz w:val="22"/>
                <w:szCs w:val="22"/>
              </w:rPr>
              <w:t>-</w:t>
            </w:r>
          </w:p>
        </w:tc>
      </w:tr>
      <w:tr w:rsidR="00A91BDC" w:rsidRPr="002B370E" w:rsidTr="00010683">
        <w:tc>
          <w:tcPr>
            <w:tcW w:w="4820" w:type="dxa"/>
            <w:shd w:val="pct10" w:color="auto" w:fill="FFFFFF"/>
          </w:tcPr>
          <w:p w:rsidR="00A91BDC" w:rsidRPr="002B370E" w:rsidRDefault="00A91BDC" w:rsidP="00A91BDC">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rsidR="00A91BDC" w:rsidRPr="002B370E" w:rsidRDefault="00FF1D05" w:rsidP="00A91BDC">
            <w:pPr>
              <w:spacing w:before="120" w:after="120"/>
              <w:jc w:val="center"/>
              <w:rPr>
                <w:sz w:val="22"/>
                <w:szCs w:val="22"/>
              </w:rPr>
            </w:pPr>
            <w:r>
              <w:rPr>
                <w:sz w:val="22"/>
                <w:szCs w:val="22"/>
              </w:rPr>
              <w:t>17</w:t>
            </w:r>
            <w:r w:rsidR="00A91BDC">
              <w:rPr>
                <w:sz w:val="22"/>
                <w:szCs w:val="22"/>
              </w:rPr>
              <w:t xml:space="preserve"> January 2022</w:t>
            </w:r>
          </w:p>
        </w:tc>
        <w:tc>
          <w:tcPr>
            <w:tcW w:w="1572" w:type="dxa"/>
          </w:tcPr>
          <w:p w:rsidR="00A91BDC" w:rsidRPr="0073127C" w:rsidRDefault="00A91BDC" w:rsidP="00A91BDC">
            <w:pPr>
              <w:spacing w:before="120" w:after="120"/>
              <w:jc w:val="center"/>
              <w:rPr>
                <w:sz w:val="22"/>
                <w:szCs w:val="22"/>
              </w:rPr>
            </w:pPr>
            <w:r w:rsidRPr="0073127C">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rsidR="003436FE" w:rsidRPr="002B370E" w:rsidRDefault="00FF1D05">
            <w:pPr>
              <w:spacing w:before="120" w:after="120"/>
              <w:jc w:val="center"/>
              <w:rPr>
                <w:sz w:val="22"/>
                <w:szCs w:val="22"/>
              </w:rPr>
            </w:pPr>
            <w:r>
              <w:rPr>
                <w:sz w:val="22"/>
                <w:szCs w:val="22"/>
              </w:rPr>
              <w:t>19</w:t>
            </w:r>
            <w:r w:rsidR="00A91BDC">
              <w:rPr>
                <w:sz w:val="22"/>
                <w:szCs w:val="22"/>
              </w:rPr>
              <w:t xml:space="preserve"> January 2022</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Contract signature</w:t>
            </w:r>
          </w:p>
        </w:tc>
        <w:tc>
          <w:tcPr>
            <w:tcW w:w="1972" w:type="dxa"/>
          </w:tcPr>
          <w:p w:rsidR="003436FE" w:rsidRPr="002B370E" w:rsidRDefault="00A91BDC" w:rsidP="00FF1D05">
            <w:pPr>
              <w:spacing w:before="120" w:after="120"/>
              <w:jc w:val="center"/>
              <w:rPr>
                <w:sz w:val="22"/>
                <w:szCs w:val="22"/>
              </w:rPr>
            </w:pPr>
            <w:r>
              <w:rPr>
                <w:sz w:val="22"/>
                <w:szCs w:val="22"/>
              </w:rPr>
              <w:t>2</w:t>
            </w:r>
            <w:r w:rsidR="00FF1D05">
              <w:rPr>
                <w:sz w:val="22"/>
                <w:szCs w:val="22"/>
              </w:rPr>
              <w:t>4</w:t>
            </w:r>
            <w:r>
              <w:rPr>
                <w:sz w:val="22"/>
                <w:szCs w:val="22"/>
              </w:rPr>
              <w:t xml:space="preserve"> January 2022</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rsidR="003436FE" w:rsidRPr="002B370E" w:rsidRDefault="00FF1D05">
            <w:pPr>
              <w:spacing w:before="120" w:after="120"/>
              <w:jc w:val="center"/>
              <w:rPr>
                <w:sz w:val="22"/>
                <w:szCs w:val="22"/>
              </w:rPr>
            </w:pPr>
            <w:r>
              <w:rPr>
                <w:sz w:val="22"/>
                <w:szCs w:val="22"/>
              </w:rPr>
              <w:t>24</w:t>
            </w:r>
            <w:r w:rsidR="00A91BDC">
              <w:rPr>
                <w:sz w:val="22"/>
                <w:szCs w:val="22"/>
              </w:rPr>
              <w:t xml:space="preserve"> January 2022</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bl>
    <w:p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rsidR="003436FE" w:rsidRPr="002B370E" w:rsidRDefault="000955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For the eligibility, please see point 10 of the contract notice. </w:t>
      </w:r>
    </w:p>
    <w:p w:rsidR="003436FE" w:rsidRPr="002B370E" w:rsidRDefault="00FB620D"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FB620D">
        <w:rPr>
          <w:sz w:val="22"/>
          <w:szCs w:val="22"/>
        </w:rPr>
        <w:t>L</w:t>
      </w:r>
      <w:r w:rsidR="003436FE" w:rsidRPr="00FB620D">
        <w:rPr>
          <w:sz w:val="22"/>
          <w:szCs w:val="22"/>
        </w:rPr>
        <w:t>egal persons are</w:t>
      </w:r>
      <w:r w:rsidR="003436FE" w:rsidRPr="002B370E">
        <w:rPr>
          <w:sz w:val="22"/>
          <w:szCs w:val="22"/>
        </w:rPr>
        <w:t xml:space="preserve"> not entitled to participate in this tender procedure or be a</w:t>
      </w:r>
      <w:bookmarkStart w:id="2" w:name="_GoBack"/>
      <w:bookmarkEnd w:id="2"/>
      <w:r w:rsidR="003436FE" w:rsidRPr="002B370E">
        <w:rPr>
          <w:sz w:val="22"/>
          <w:szCs w:val="22"/>
        </w:rPr>
        <w:t xml:space="preserve">warded a contract if they are in any of the </w:t>
      </w:r>
      <w:r w:rsidR="004E248D" w:rsidRPr="00E82463">
        <w:rPr>
          <w:sz w:val="22"/>
        </w:rPr>
        <w:t>situations</w:t>
      </w:r>
      <w:r w:rsidR="003436FE"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003436FE" w:rsidRPr="002B370E">
        <w:rPr>
          <w:sz w:val="22"/>
          <w:szCs w:val="22"/>
        </w:rPr>
        <w:t xml:space="preserve"> 2.</w:t>
      </w:r>
      <w:r w:rsidR="00C330E1">
        <w:rPr>
          <w:sz w:val="22"/>
          <w:szCs w:val="22"/>
        </w:rPr>
        <w:t>6</w:t>
      </w:r>
      <w:r w:rsidR="003436FE" w:rsidRPr="002B370E">
        <w:rPr>
          <w:sz w:val="22"/>
          <w:szCs w:val="22"/>
        </w:rPr>
        <w:t>.</w:t>
      </w:r>
      <w:r w:rsidR="00C330E1">
        <w:rPr>
          <w:sz w:val="22"/>
          <w:szCs w:val="22"/>
        </w:rPr>
        <w:t>10</w:t>
      </w:r>
      <w:r w:rsidR="004E248D">
        <w:rPr>
          <w:sz w:val="22"/>
          <w:szCs w:val="22"/>
        </w:rPr>
        <w:t>.1</w:t>
      </w:r>
      <w:r w:rsidR="00BF0BD3">
        <w:rPr>
          <w:sz w:val="22"/>
          <w:szCs w:val="22"/>
        </w:rPr>
        <w:t>.</w:t>
      </w:r>
      <w:r w:rsidR="0038650E">
        <w:rPr>
          <w:sz w:val="22"/>
          <w:szCs w:val="22"/>
        </w:rPr>
        <w:t xml:space="preserve"> </w:t>
      </w:r>
      <w:r w:rsidR="00F80338">
        <w:rPr>
          <w:sz w:val="22"/>
          <w:szCs w:val="22"/>
        </w:rPr>
        <w:t>(</w:t>
      </w:r>
      <w:proofErr w:type="gramStart"/>
      <w:r w:rsidR="00F80338">
        <w:rPr>
          <w:sz w:val="22"/>
          <w:szCs w:val="22"/>
        </w:rPr>
        <w:t>exclusion</w:t>
      </w:r>
      <w:proofErr w:type="gramEnd"/>
      <w:r w:rsidR="00F80338">
        <w:rPr>
          <w:sz w:val="22"/>
          <w:szCs w:val="22"/>
        </w:rPr>
        <w:t xml:space="preserve">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w:t>
      </w:r>
      <w:proofErr w:type="gramStart"/>
      <w:r w:rsidR="00F80338">
        <w:rPr>
          <w:sz w:val="22"/>
          <w:szCs w:val="22"/>
        </w:rPr>
        <w:t>rejection</w:t>
      </w:r>
      <w:proofErr w:type="gramEnd"/>
      <w:r w:rsidR="00F80338">
        <w:rPr>
          <w:sz w:val="22"/>
          <w:szCs w:val="22"/>
        </w:rPr>
        <w:t xml:space="preserve">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003436FE" w:rsidRPr="002B370E">
        <w:rPr>
          <w:sz w:val="22"/>
          <w:szCs w:val="22"/>
        </w:rPr>
        <w:t xml:space="preserve">of the </w:t>
      </w:r>
      <w:r w:rsidR="00C330E1">
        <w:rPr>
          <w:b/>
          <w:sz w:val="22"/>
          <w:szCs w:val="22"/>
        </w:rPr>
        <w:t>p</w:t>
      </w:r>
      <w:r w:rsidR="003436FE" w:rsidRPr="002B370E">
        <w:rPr>
          <w:b/>
          <w:sz w:val="22"/>
          <w:szCs w:val="22"/>
        </w:rPr>
        <w:t xml:space="preserve">ractical </w:t>
      </w:r>
      <w:r w:rsidR="00C330E1">
        <w:rPr>
          <w:b/>
          <w:sz w:val="22"/>
          <w:szCs w:val="22"/>
        </w:rPr>
        <w:t>g</w:t>
      </w:r>
      <w:r w:rsidR="003436FE" w:rsidRPr="002B370E">
        <w:rPr>
          <w:b/>
          <w:sz w:val="22"/>
          <w:szCs w:val="22"/>
        </w:rPr>
        <w:t>uide</w:t>
      </w:r>
      <w:r w:rsidR="003436FE"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003436FE" w:rsidRPr="002B370E">
        <w:rPr>
          <w:sz w:val="22"/>
          <w:szCs w:val="22"/>
        </w:rPr>
        <w:t>.</w:t>
      </w:r>
    </w:p>
    <w:p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lastRenderedPageBreak/>
        <w:t xml:space="preserve">The contract between the tenderer/contractor and its experts shall contain a provision that it is subject to the approval of the </w:t>
      </w:r>
      <w:r w:rsidR="005D6CCF">
        <w:rPr>
          <w:sz w:val="22"/>
          <w:szCs w:val="22"/>
        </w:rPr>
        <w:t>partner</w:t>
      </w:r>
      <w:r>
        <w:rPr>
          <w:sz w:val="22"/>
          <w:szCs w:val="22"/>
        </w:rPr>
        <w:t xml:space="preserve"> country. It is furthermore recommended that this contract contains a dispute resolution clause. </w:t>
      </w:r>
    </w:p>
    <w:p w:rsidR="00D66CD2" w:rsidRPr="00885340" w:rsidRDefault="00D66CD2" w:rsidP="00B327C3">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highlight w:val="lightGray"/>
        </w:rPr>
      </w:pPr>
      <w:r w:rsidRPr="00200F20">
        <w:rPr>
          <w:sz w:val="22"/>
          <w:szCs w:val="22"/>
        </w:rPr>
        <w:t>Subcontracting is allowed</w:t>
      </w:r>
      <w:r>
        <w:rPr>
          <w:sz w:val="22"/>
          <w:szCs w:val="22"/>
        </w:rPr>
        <w:t xml:space="preserve"> but t</w:t>
      </w:r>
      <w:r w:rsidRPr="00200F20">
        <w:rPr>
          <w:sz w:val="22"/>
          <w:szCs w:val="22"/>
        </w:rPr>
        <w:t>he contractor will retain full liability towards the contracting authority for performance of the contract as a whole.</w:t>
      </w:r>
      <w:r>
        <w:rPr>
          <w:sz w:val="22"/>
          <w:szCs w:val="22"/>
        </w:rPr>
        <w:t xml:space="preserve"> If</w:t>
      </w:r>
      <w:r w:rsidRPr="00632671">
        <w:rPr>
          <w:sz w:val="22"/>
          <w:szCs w:val="22"/>
        </w:rPr>
        <w:t xml:space="preserve"> the tenderer intends to subcontract one or more parts of the contracted services, this must be clearly stated in the </w:t>
      </w:r>
      <w:r>
        <w:rPr>
          <w:sz w:val="22"/>
          <w:szCs w:val="22"/>
        </w:rPr>
        <w:t>organisation and methodology and the t</w:t>
      </w:r>
      <w:r w:rsidRPr="00632671">
        <w:rPr>
          <w:sz w:val="22"/>
          <w:szCs w:val="22"/>
        </w:rPr>
        <w:t>ender submission form.</w:t>
      </w:r>
      <w:r w:rsidRPr="00200F20">
        <w:rPr>
          <w:sz w:val="22"/>
          <w:szCs w:val="22"/>
        </w:rPr>
        <w:t xml:space="preserve"> </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 xml:space="preserve">Subcontractors </w:t>
      </w:r>
      <w:r w:rsidR="00854CFF">
        <w:rPr>
          <w:sz w:val="22"/>
          <w:szCs w:val="22"/>
        </w:rPr>
        <w:t xml:space="preserve">and capacity providing entities </w:t>
      </w:r>
      <w:r w:rsidRPr="00632671">
        <w:rPr>
          <w:sz w:val="22"/>
          <w:szCs w:val="22"/>
        </w:rPr>
        <w:t>cannot be in any of the exclusion situations listed in Section 2.</w:t>
      </w:r>
      <w:r w:rsidR="00C330E1">
        <w:rPr>
          <w:sz w:val="22"/>
          <w:szCs w:val="22"/>
        </w:rPr>
        <w:t>6</w:t>
      </w:r>
      <w:r w:rsidRPr="00632671">
        <w:rPr>
          <w:sz w:val="22"/>
          <w:szCs w:val="22"/>
        </w:rPr>
        <w:t>.</w:t>
      </w:r>
      <w:r w:rsidR="00C330E1">
        <w:rPr>
          <w:sz w:val="22"/>
          <w:szCs w:val="22"/>
        </w:rPr>
        <w:t>10.1</w:t>
      </w:r>
      <w:r w:rsidRPr="00632671">
        <w:rPr>
          <w:sz w:val="22"/>
          <w:szCs w:val="22"/>
        </w:rPr>
        <w:t xml:space="preserve"> of the </w:t>
      </w:r>
      <w:r w:rsidR="00C330E1">
        <w:rPr>
          <w:sz w:val="22"/>
          <w:szCs w:val="22"/>
        </w:rPr>
        <w:t>p</w:t>
      </w:r>
      <w:r w:rsidRPr="00632671">
        <w:rPr>
          <w:sz w:val="22"/>
          <w:szCs w:val="22"/>
        </w:rPr>
        <w:t xml:space="preserve">ractical </w:t>
      </w:r>
      <w:r w:rsidR="00C330E1">
        <w:rPr>
          <w:sz w:val="22"/>
          <w:szCs w:val="22"/>
        </w:rPr>
        <w:t>g</w:t>
      </w:r>
      <w:r w:rsidRPr="00632671">
        <w:rPr>
          <w:sz w:val="22"/>
          <w:szCs w:val="22"/>
        </w:rPr>
        <w:t xml:space="preserve">uide. </w:t>
      </w:r>
    </w:p>
    <w:p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rsidR="003436F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rsidR="002176BB" w:rsidRPr="00973693" w:rsidRDefault="002176BB" w:rsidP="002176BB">
      <w:pPr>
        <w:pStyle w:val="Heading2"/>
        <w:widowControl w:val="0"/>
        <w:spacing w:before="120" w:after="120"/>
        <w:jc w:val="both"/>
        <w:rPr>
          <w:sz w:val="22"/>
          <w:szCs w:val="22"/>
          <w:lang w:val="en-GB"/>
        </w:rPr>
      </w:pPr>
      <w:r w:rsidRPr="0073127C">
        <w:rPr>
          <w:sz w:val="22"/>
          <w:szCs w:val="22"/>
          <w:lang w:val="en-GB"/>
        </w:rPr>
        <w:t xml:space="preserve">When submitting the tender packages, it must be entered in </w:t>
      </w:r>
      <w:proofErr w:type="spellStart"/>
      <w:r w:rsidRPr="0073127C">
        <w:rPr>
          <w:sz w:val="22"/>
          <w:szCs w:val="22"/>
          <w:lang w:val="en-GB"/>
        </w:rPr>
        <w:t>Vanadzor</w:t>
      </w:r>
      <w:proofErr w:type="spellEnd"/>
      <w:r w:rsidRPr="0073127C">
        <w:rPr>
          <w:sz w:val="22"/>
          <w:szCs w:val="22"/>
          <w:lang w:val="en-GB"/>
        </w:rPr>
        <w:t xml:space="preserve"> Municipality, which requires the passport of the authorized person / director and an accompanying note (in Armenian).</w:t>
      </w:r>
    </w:p>
    <w:p w:rsidR="002176BB" w:rsidRDefault="002176BB" w:rsidP="002176BB">
      <w:pPr>
        <w:pStyle w:val="Heading2"/>
        <w:keepNext w:val="0"/>
        <w:widowControl w:val="0"/>
        <w:tabs>
          <w:tab w:val="clear" w:pos="426"/>
        </w:tabs>
        <w:spacing w:before="120" w:after="120"/>
        <w:jc w:val="both"/>
        <w:rPr>
          <w:sz w:val="22"/>
          <w:szCs w:val="22"/>
          <w:lang w:val="en-GB"/>
        </w:rPr>
      </w:pPr>
      <w:r w:rsidRPr="00973693">
        <w:rPr>
          <w:sz w:val="22"/>
          <w:szCs w:val="22"/>
          <w:lang w:val="en-GB"/>
        </w:rPr>
        <w:t>The accompanying note and passport should not be included in the tender envelope.</w:t>
      </w:r>
    </w:p>
    <w:p w:rsidR="002176BB" w:rsidRPr="002176BB" w:rsidRDefault="002176BB" w:rsidP="002176BB"/>
    <w:p w:rsidR="003436FE" w:rsidRPr="002B370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2F1241">
        <w:rPr>
          <w:sz w:val="22"/>
          <w:szCs w:val="22"/>
        </w:rPr>
        <w:t>include</w:t>
      </w:r>
      <w:r w:rsidRPr="002B370E">
        <w:rPr>
          <w:sz w:val="22"/>
          <w:szCs w:val="22"/>
        </w:rPr>
        <w:t xml:space="preserve"> a </w:t>
      </w:r>
      <w:r w:rsidR="0021784A">
        <w:rPr>
          <w:sz w:val="22"/>
          <w:szCs w:val="22"/>
        </w:rPr>
        <w:t>t</w:t>
      </w:r>
      <w:r w:rsidRPr="002B370E">
        <w:rPr>
          <w:sz w:val="22"/>
          <w:szCs w:val="22"/>
        </w:rPr>
        <w:t xml:space="preserve">echnical offer and a </w:t>
      </w:r>
      <w:r w:rsidR="0021784A">
        <w:rPr>
          <w:sz w:val="22"/>
          <w:szCs w:val="22"/>
        </w:rPr>
        <w:t>f</w:t>
      </w:r>
      <w:r w:rsidRPr="002B370E">
        <w:rPr>
          <w:sz w:val="22"/>
          <w:szCs w:val="22"/>
        </w:rPr>
        <w:t>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Each </w:t>
      </w:r>
      <w:r w:rsidR="0021784A">
        <w:rPr>
          <w:sz w:val="22"/>
          <w:szCs w:val="22"/>
        </w:rPr>
        <w:t>t</w:t>
      </w:r>
      <w:r w:rsidRPr="002B370E">
        <w:rPr>
          <w:sz w:val="22"/>
          <w:szCs w:val="22"/>
        </w:rPr>
        <w:t xml:space="preserve">echnical offer and </w:t>
      </w:r>
      <w:r w:rsidR="0021784A">
        <w:rPr>
          <w:sz w:val="22"/>
          <w:szCs w:val="22"/>
        </w:rPr>
        <w:t>f</w:t>
      </w:r>
      <w:r w:rsidRPr="002B370E">
        <w:rPr>
          <w:sz w:val="22"/>
          <w:szCs w:val="22"/>
        </w:rPr>
        <w:t xml:space="preserve">inancial offer must contain one original, clearly marked </w:t>
      </w:r>
      <w:r>
        <w:rPr>
          <w:b/>
          <w:sz w:val="22"/>
          <w:szCs w:val="22"/>
        </w:rPr>
        <w:t>‘</w:t>
      </w:r>
      <w:r w:rsidRPr="002B370E">
        <w:rPr>
          <w:b/>
          <w:sz w:val="22"/>
          <w:szCs w:val="22"/>
        </w:rPr>
        <w:t>Original</w:t>
      </w:r>
      <w:r>
        <w:rPr>
          <w:b/>
          <w:sz w:val="22"/>
          <w:szCs w:val="22"/>
        </w:rPr>
        <w:t>’</w:t>
      </w:r>
      <w:r w:rsidR="00B327C3">
        <w:rPr>
          <w:sz w:val="22"/>
          <w:szCs w:val="22"/>
        </w:rPr>
        <w:t xml:space="preserve">, and 2 </w:t>
      </w:r>
      <w:r w:rsidRPr="0038650E">
        <w:rPr>
          <w:sz w:val="22"/>
          <w:szCs w:val="22"/>
        </w:rPr>
        <w:t>number</w:t>
      </w:r>
      <w:r w:rsidRPr="002B370E">
        <w:rPr>
          <w:sz w:val="22"/>
          <w:szCs w:val="22"/>
        </w:rPr>
        <w:t xml:space="preserve"> copies, each marked </w:t>
      </w:r>
      <w:r>
        <w:rPr>
          <w:sz w:val="22"/>
          <w:szCs w:val="22"/>
        </w:rPr>
        <w:t>‘</w:t>
      </w:r>
      <w:r w:rsidRPr="002B370E">
        <w:rPr>
          <w:b/>
          <w:sz w:val="22"/>
          <w:szCs w:val="22"/>
        </w:rPr>
        <w:t>Copy</w:t>
      </w:r>
      <w:r>
        <w:rPr>
          <w:b/>
          <w:sz w:val="22"/>
          <w:szCs w:val="22"/>
        </w:rPr>
        <w:t>’</w:t>
      </w:r>
      <w:r w:rsidRPr="002B370E">
        <w:rPr>
          <w:sz w:val="22"/>
          <w:szCs w:val="22"/>
        </w:rPr>
        <w:t xml:space="preserve">. 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1B1598">
        <w:rPr>
          <w:sz w:val="22"/>
          <w:szCs w:val="22"/>
        </w:rPr>
        <w:t xml:space="preserve">together with a signed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lastRenderedPageBreak/>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rsidR="003436FE" w:rsidRPr="002B370E" w:rsidRDefault="003436FE" w:rsidP="003436FE">
      <w:pPr>
        <w:spacing w:before="120" w:after="120"/>
        <w:ind w:left="567"/>
        <w:jc w:val="both"/>
        <w:rPr>
          <w:sz w:val="22"/>
          <w:szCs w:val="22"/>
        </w:rPr>
      </w:pPr>
      <w:r w:rsidRPr="00B327C3">
        <w:rPr>
          <w:sz w:val="22"/>
          <w:szCs w:val="22"/>
        </w:rPr>
        <w:t xml:space="preserve">The ‘Estimated number of working days’ worksheet (in the budget breakdown </w:t>
      </w:r>
      <w:r w:rsidR="00C3216F" w:rsidRPr="00B327C3">
        <w:rPr>
          <w:sz w:val="22"/>
          <w:szCs w:val="22"/>
        </w:rPr>
        <w:t>spread sheet</w:t>
      </w:r>
      <w:r w:rsidRPr="00B327C3">
        <w:rPr>
          <w:sz w:val="22"/>
          <w:szCs w:val="22"/>
        </w:rPr>
        <w:t xml:space="preserve"> for Annex V) must be included in the </w:t>
      </w:r>
      <w:r w:rsidR="0021784A" w:rsidRPr="00B327C3">
        <w:rPr>
          <w:sz w:val="22"/>
          <w:szCs w:val="22"/>
        </w:rPr>
        <w:t>o</w:t>
      </w:r>
      <w:r w:rsidRPr="00B327C3">
        <w:rPr>
          <w:sz w:val="22"/>
          <w:szCs w:val="22"/>
        </w:rPr>
        <w:t>rganisation and methodology.</w:t>
      </w:r>
    </w:p>
    <w:p w:rsidR="003436FE" w:rsidRPr="00B327C3" w:rsidRDefault="003436FE" w:rsidP="00B327C3">
      <w:pPr>
        <w:numPr>
          <w:ilvl w:val="0"/>
          <w:numId w:val="20"/>
        </w:numPr>
        <w:tabs>
          <w:tab w:val="num" w:pos="567"/>
        </w:tabs>
        <w:spacing w:before="120" w:after="120"/>
        <w:ind w:left="567" w:hanging="567"/>
        <w:jc w:val="both"/>
        <w:rPr>
          <w:sz w:val="22"/>
          <w:szCs w:val="22"/>
        </w:rPr>
      </w:pPr>
      <w:r w:rsidRPr="00B327C3">
        <w:rPr>
          <w:sz w:val="22"/>
          <w:szCs w:val="22"/>
        </w:rPr>
        <w:t>Their positions and responsibilities are defined in Section 6</w:t>
      </w:r>
      <w:r w:rsidR="00396D4A" w:rsidRPr="00B327C3">
        <w:rPr>
          <w:sz w:val="22"/>
          <w:szCs w:val="22"/>
        </w:rPr>
        <w:t>.1.1</w:t>
      </w:r>
      <w:r w:rsidRPr="00B327C3">
        <w:rPr>
          <w:sz w:val="22"/>
          <w:szCs w:val="22"/>
        </w:rPr>
        <w:t xml:space="preserve"> of the </w:t>
      </w:r>
      <w:r w:rsidR="0021784A" w:rsidRPr="00B327C3">
        <w:rPr>
          <w:sz w:val="22"/>
          <w:szCs w:val="22"/>
        </w:rPr>
        <w:t>t</w:t>
      </w:r>
      <w:r w:rsidRPr="00B327C3">
        <w:rPr>
          <w:sz w:val="22"/>
          <w:szCs w:val="22"/>
        </w:rPr>
        <w:t xml:space="preserve">erms of </w:t>
      </w:r>
      <w:r w:rsidR="0021784A" w:rsidRPr="00B327C3">
        <w:rPr>
          <w:sz w:val="22"/>
          <w:szCs w:val="22"/>
        </w:rPr>
        <w:t>r</w:t>
      </w:r>
      <w:r w:rsidRPr="00B327C3">
        <w:rPr>
          <w:sz w:val="22"/>
          <w:szCs w:val="22"/>
        </w:rPr>
        <w:t>eference in Annex II to the draft contract and they are subject to evaluation according to the evaluation grid in Part C of this tender dossier.</w:t>
      </w:r>
    </w:p>
    <w:p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rsidR="003436FE" w:rsidRPr="002B370E" w:rsidRDefault="003436FE" w:rsidP="003436FE">
      <w:pPr>
        <w:spacing w:before="120" w:after="120"/>
        <w:jc w:val="both"/>
        <w:rPr>
          <w:sz w:val="22"/>
          <w:szCs w:val="22"/>
        </w:rPr>
      </w:pPr>
      <w:r w:rsidRPr="002B370E">
        <w:rPr>
          <w:sz w:val="22"/>
          <w:szCs w:val="22"/>
        </w:rPr>
        <w:lastRenderedPageBreak/>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rsidR="00517439" w:rsidRPr="00E60110" w:rsidRDefault="003436FE" w:rsidP="003436FE">
      <w:pPr>
        <w:shd w:val="clear" w:color="auto" w:fill="FFFFFF"/>
        <w:spacing w:before="120" w:after="120"/>
        <w:jc w:val="both"/>
        <w:rPr>
          <w:sz w:val="22"/>
          <w:szCs w:val="22"/>
        </w:rPr>
      </w:pPr>
      <w:r w:rsidRPr="00E60110">
        <w:rPr>
          <w:sz w:val="22"/>
          <w:szCs w:val="22"/>
        </w:rPr>
        <w:t xml:space="preserve">The </w:t>
      </w:r>
      <w:r w:rsidR="00543D27" w:rsidRPr="00E60110">
        <w:rPr>
          <w:sz w:val="22"/>
          <w:szCs w:val="22"/>
        </w:rPr>
        <w:t>f</w:t>
      </w:r>
      <w:r w:rsidRPr="00E60110">
        <w:rPr>
          <w:sz w:val="22"/>
          <w:szCs w:val="22"/>
        </w:rPr>
        <w:t xml:space="preserve">inancial offer must be presented in </w:t>
      </w:r>
      <w:r w:rsidR="00E60110" w:rsidRPr="00E60110">
        <w:rPr>
          <w:sz w:val="22"/>
          <w:szCs w:val="22"/>
        </w:rPr>
        <w:t xml:space="preserve">AMD </w:t>
      </w:r>
      <w:r w:rsidRPr="00E60110">
        <w:rPr>
          <w:sz w:val="22"/>
          <w:szCs w:val="22"/>
        </w:rPr>
        <w:t xml:space="preserve">and must include the following documents (using the templates included in the fee-based version of Annex V to part B of this tender dossier. The electronic version of this document ‘B8 - </w:t>
      </w:r>
      <w:hyperlink r:id="rId9" w:tooltip=" Budget breakdown for a fee-based contract" w:history="1">
        <w:r w:rsidRPr="00E60110">
          <w:rPr>
            <w:color w:val="000000"/>
            <w:sz w:val="22"/>
            <w:szCs w:val="22"/>
          </w:rPr>
          <w:t>Budget breakdown for a fee-based contract</w:t>
        </w:r>
      </w:hyperlink>
      <w:r w:rsidRPr="00E60110">
        <w:rPr>
          <w:sz w:val="22"/>
          <w:szCs w:val="22"/>
        </w:rPr>
        <w:t>’ can be found on the website</w:t>
      </w:r>
    </w:p>
    <w:p w:rsidR="003436FE" w:rsidRPr="00E60110" w:rsidRDefault="00885340" w:rsidP="003436FE">
      <w:pPr>
        <w:shd w:val="clear" w:color="auto" w:fill="FFFFFF"/>
        <w:spacing w:before="120" w:after="120"/>
        <w:jc w:val="both"/>
        <w:rPr>
          <w:sz w:val="22"/>
          <w:szCs w:val="22"/>
        </w:rPr>
      </w:pPr>
      <w:hyperlink r:id="rId10" w:history="1">
        <w:r w:rsidR="00996707" w:rsidRPr="00E60110">
          <w:rPr>
            <w:rStyle w:val="Hyperlink"/>
            <w:sz w:val="22"/>
            <w:szCs w:val="22"/>
          </w:rPr>
          <w:t>http://ec.europa.eu/europeaid/prag/document.do</w:t>
        </w:r>
      </w:hyperlink>
      <w:r w:rsidR="003436FE" w:rsidRPr="00E60110">
        <w:rPr>
          <w:sz w:val="22"/>
          <w:szCs w:val="22"/>
        </w:rPr>
        <w:t>):</w:t>
      </w:r>
    </w:p>
    <w:p w:rsidR="003436FE" w:rsidRPr="00E60110" w:rsidRDefault="003436FE" w:rsidP="003436FE">
      <w:pPr>
        <w:numPr>
          <w:ilvl w:val="0"/>
          <w:numId w:val="37"/>
        </w:numPr>
        <w:shd w:val="clear" w:color="auto" w:fill="FFFFFF"/>
        <w:tabs>
          <w:tab w:val="clear" w:pos="360"/>
        </w:tabs>
        <w:spacing w:before="120" w:after="120"/>
        <w:ind w:left="426" w:hanging="426"/>
        <w:jc w:val="both"/>
        <w:rPr>
          <w:sz w:val="22"/>
          <w:szCs w:val="22"/>
        </w:rPr>
      </w:pPr>
      <w:r w:rsidRPr="00E60110">
        <w:rPr>
          <w:sz w:val="22"/>
          <w:szCs w:val="22"/>
        </w:rPr>
        <w:t>Budget breakdown</w:t>
      </w:r>
    </w:p>
    <w:p w:rsidR="003436FE" w:rsidRPr="00E60110" w:rsidRDefault="003436FE" w:rsidP="003436FE">
      <w:pPr>
        <w:numPr>
          <w:ilvl w:val="0"/>
          <w:numId w:val="37"/>
        </w:numPr>
        <w:shd w:val="clear" w:color="auto" w:fill="FFFFFF"/>
        <w:tabs>
          <w:tab w:val="clear" w:pos="360"/>
        </w:tabs>
        <w:spacing w:before="120" w:after="120"/>
        <w:ind w:left="426" w:hanging="426"/>
        <w:jc w:val="both"/>
        <w:rPr>
          <w:sz w:val="22"/>
          <w:szCs w:val="22"/>
        </w:rPr>
      </w:pPr>
      <w:r w:rsidRPr="00E60110">
        <w:rPr>
          <w:sz w:val="22"/>
          <w:szCs w:val="22"/>
        </w:rPr>
        <w:t>Working days</w:t>
      </w:r>
    </w:p>
    <w:p w:rsidR="003436FE" w:rsidRPr="00E60110" w:rsidRDefault="003436FE" w:rsidP="003436FE">
      <w:pPr>
        <w:shd w:val="clear" w:color="auto" w:fill="FFFFFF"/>
        <w:spacing w:before="120" w:after="120"/>
        <w:jc w:val="both"/>
        <w:rPr>
          <w:b/>
          <w:sz w:val="22"/>
          <w:szCs w:val="22"/>
        </w:rPr>
      </w:pPr>
      <w:r w:rsidRPr="00E60110">
        <w:rPr>
          <w:b/>
          <w:sz w:val="22"/>
          <w:szCs w:val="22"/>
        </w:rPr>
        <w:t xml:space="preserve">To complete the </w:t>
      </w:r>
      <w:r w:rsidR="00C3216F" w:rsidRPr="00E60110">
        <w:rPr>
          <w:b/>
          <w:sz w:val="22"/>
          <w:szCs w:val="22"/>
        </w:rPr>
        <w:t>spread sheet</w:t>
      </w:r>
      <w:r w:rsidRPr="00E60110">
        <w:rPr>
          <w:b/>
          <w:sz w:val="22"/>
          <w:szCs w:val="22"/>
        </w:rPr>
        <w:t>:</w:t>
      </w:r>
    </w:p>
    <w:p w:rsidR="003436FE" w:rsidRPr="00E60110" w:rsidRDefault="003436FE" w:rsidP="003436FE">
      <w:pPr>
        <w:numPr>
          <w:ilvl w:val="0"/>
          <w:numId w:val="38"/>
        </w:numPr>
        <w:shd w:val="clear" w:color="auto" w:fill="FFFFFF"/>
        <w:spacing w:before="120" w:after="120"/>
        <w:ind w:left="426" w:hanging="426"/>
        <w:jc w:val="both"/>
        <w:rPr>
          <w:sz w:val="22"/>
          <w:szCs w:val="22"/>
        </w:rPr>
      </w:pPr>
      <w:r w:rsidRPr="00E60110">
        <w:rPr>
          <w:sz w:val="22"/>
          <w:szCs w:val="22"/>
        </w:rPr>
        <w:t>Enter the fee rates for each category of expert in the first worksheet (‘Budget breakdown’)</w:t>
      </w:r>
    </w:p>
    <w:p w:rsidR="003436FE" w:rsidRPr="00E60110" w:rsidRDefault="003436FE" w:rsidP="003436FE">
      <w:pPr>
        <w:numPr>
          <w:ilvl w:val="0"/>
          <w:numId w:val="38"/>
        </w:numPr>
        <w:shd w:val="clear" w:color="auto" w:fill="FFFFFF"/>
        <w:spacing w:before="120" w:after="120"/>
        <w:ind w:left="426" w:hanging="426"/>
        <w:jc w:val="both"/>
        <w:rPr>
          <w:sz w:val="22"/>
          <w:szCs w:val="22"/>
        </w:rPr>
      </w:pPr>
      <w:r w:rsidRPr="00E60110">
        <w:rPr>
          <w:sz w:val="22"/>
          <w:szCs w:val="22"/>
        </w:rPr>
        <w:t>Enter the estimated numbers of working days for each category of expert during the period of implementation of the tasks in the second worksheet (‘Working days’)</w:t>
      </w:r>
    </w:p>
    <w:p w:rsidR="00517439" w:rsidRPr="00E60110" w:rsidRDefault="00517439" w:rsidP="003436FE">
      <w:pPr>
        <w:numPr>
          <w:ilvl w:val="0"/>
          <w:numId w:val="38"/>
        </w:numPr>
        <w:shd w:val="clear" w:color="auto" w:fill="FFFFFF"/>
        <w:spacing w:before="120" w:after="120"/>
        <w:ind w:left="426" w:hanging="426"/>
        <w:jc w:val="both"/>
        <w:rPr>
          <w:sz w:val="22"/>
          <w:szCs w:val="22"/>
        </w:rPr>
      </w:pPr>
      <w:r w:rsidRPr="00E60110">
        <w:rPr>
          <w:sz w:val="22"/>
          <w:szCs w:val="22"/>
        </w:rPr>
        <w:t xml:space="preserve">Enter the lump sums proposed for items </w:t>
      </w:r>
      <w:r w:rsidR="00EA6B94" w:rsidRPr="00E60110">
        <w:rPr>
          <w:sz w:val="22"/>
          <w:szCs w:val="22"/>
        </w:rPr>
        <w:t xml:space="preserve">required in Section 6.6 of the </w:t>
      </w:r>
      <w:r w:rsidR="00543D27" w:rsidRPr="00E60110">
        <w:rPr>
          <w:sz w:val="22"/>
          <w:szCs w:val="22"/>
        </w:rPr>
        <w:t>t</w:t>
      </w:r>
      <w:r w:rsidR="00EA6B94" w:rsidRPr="00E60110">
        <w:rPr>
          <w:sz w:val="22"/>
          <w:szCs w:val="22"/>
        </w:rPr>
        <w:t xml:space="preserve">erms of </w:t>
      </w:r>
      <w:r w:rsidR="00543D27" w:rsidRPr="00E60110">
        <w:rPr>
          <w:sz w:val="22"/>
          <w:szCs w:val="22"/>
        </w:rPr>
        <w:t>r</w:t>
      </w:r>
      <w:r w:rsidR="00EA6B94" w:rsidRPr="00E60110">
        <w:rPr>
          <w:sz w:val="22"/>
          <w:szCs w:val="22"/>
        </w:rPr>
        <w:t>eference in the first worksheet (‘Budget breakdown’)</w:t>
      </w:r>
      <w:r w:rsidRPr="00E60110">
        <w:rPr>
          <w:sz w:val="22"/>
          <w:szCs w:val="22"/>
        </w:rPr>
        <w:t>, if any</w:t>
      </w:r>
    </w:p>
    <w:p w:rsidR="003436FE" w:rsidRPr="00E60110" w:rsidRDefault="003436FE" w:rsidP="003436FE">
      <w:pPr>
        <w:numPr>
          <w:ilvl w:val="0"/>
          <w:numId w:val="38"/>
        </w:numPr>
        <w:shd w:val="clear" w:color="auto" w:fill="FFFFFF"/>
        <w:spacing w:before="120" w:after="120"/>
        <w:ind w:left="426" w:hanging="426"/>
        <w:jc w:val="both"/>
        <w:rPr>
          <w:sz w:val="22"/>
          <w:szCs w:val="22"/>
        </w:rPr>
      </w:pPr>
      <w:r w:rsidRPr="00E60110">
        <w:rPr>
          <w:sz w:val="22"/>
          <w:szCs w:val="22"/>
        </w:rPr>
        <w:t xml:space="preserve">Enter the provision for incidental expenditure given in Section 6.5 of the </w:t>
      </w:r>
      <w:r w:rsidR="00543D27" w:rsidRPr="00E60110">
        <w:rPr>
          <w:sz w:val="22"/>
          <w:szCs w:val="22"/>
        </w:rPr>
        <w:t>t</w:t>
      </w:r>
      <w:r w:rsidRPr="00E60110">
        <w:rPr>
          <w:sz w:val="22"/>
          <w:szCs w:val="22"/>
        </w:rPr>
        <w:t xml:space="preserve">erms of </w:t>
      </w:r>
      <w:r w:rsidR="00543D27" w:rsidRPr="00E60110">
        <w:rPr>
          <w:sz w:val="22"/>
          <w:szCs w:val="22"/>
        </w:rPr>
        <w:t>r</w:t>
      </w:r>
      <w:r w:rsidRPr="00E60110">
        <w:rPr>
          <w:sz w:val="22"/>
          <w:szCs w:val="22"/>
        </w:rPr>
        <w:t>eference in the first worksheet (‘Budget breakdown’)</w:t>
      </w:r>
    </w:p>
    <w:p w:rsidR="003436FE" w:rsidRPr="00E60110" w:rsidRDefault="003436FE" w:rsidP="003436FE">
      <w:pPr>
        <w:numPr>
          <w:ilvl w:val="0"/>
          <w:numId w:val="38"/>
        </w:numPr>
        <w:shd w:val="clear" w:color="auto" w:fill="FFFFFF"/>
        <w:spacing w:before="120" w:after="120"/>
        <w:ind w:left="426" w:hanging="426"/>
        <w:jc w:val="both"/>
        <w:rPr>
          <w:sz w:val="22"/>
          <w:szCs w:val="22"/>
        </w:rPr>
      </w:pPr>
      <w:r w:rsidRPr="00E60110">
        <w:rPr>
          <w:sz w:val="22"/>
          <w:szCs w:val="22"/>
        </w:rPr>
        <w:t>Enter the provision for expenditure verification given in Section 6.</w:t>
      </w:r>
      <w:r w:rsidR="00EA6B94" w:rsidRPr="00E60110">
        <w:rPr>
          <w:sz w:val="22"/>
          <w:szCs w:val="22"/>
        </w:rPr>
        <w:t>7</w:t>
      </w:r>
      <w:r w:rsidRPr="00E60110">
        <w:rPr>
          <w:sz w:val="22"/>
          <w:szCs w:val="22"/>
        </w:rPr>
        <w:t xml:space="preserve"> of the </w:t>
      </w:r>
      <w:r w:rsidR="00543D27" w:rsidRPr="00E60110">
        <w:rPr>
          <w:sz w:val="22"/>
          <w:szCs w:val="22"/>
        </w:rPr>
        <w:t>t</w:t>
      </w:r>
      <w:r w:rsidRPr="00E60110">
        <w:rPr>
          <w:sz w:val="22"/>
          <w:szCs w:val="22"/>
        </w:rPr>
        <w:t xml:space="preserve">erms of </w:t>
      </w:r>
      <w:r w:rsidR="00543D27" w:rsidRPr="00E60110">
        <w:rPr>
          <w:sz w:val="22"/>
          <w:szCs w:val="22"/>
        </w:rPr>
        <w:t>r</w:t>
      </w:r>
      <w:r w:rsidRPr="00E60110">
        <w:rPr>
          <w:sz w:val="22"/>
          <w:szCs w:val="22"/>
        </w:rPr>
        <w:t>eference in the first worksheet (‘Budget breakdown’)</w:t>
      </w:r>
      <w:r w:rsidR="00E222AD" w:rsidRPr="00E60110">
        <w:rPr>
          <w:sz w:val="22"/>
          <w:szCs w:val="22"/>
        </w:rPr>
        <w:t>.</w:t>
      </w:r>
    </w:p>
    <w:p w:rsidR="003436FE" w:rsidRPr="00E84A51" w:rsidRDefault="003436FE" w:rsidP="003436FE">
      <w:pPr>
        <w:shd w:val="clear" w:color="auto" w:fill="FFFFFF"/>
        <w:spacing w:before="120" w:after="120"/>
        <w:jc w:val="both"/>
        <w:rPr>
          <w:sz w:val="22"/>
          <w:szCs w:val="22"/>
        </w:rPr>
      </w:pPr>
      <w:r w:rsidRPr="00E60110">
        <w:rPr>
          <w:sz w:val="22"/>
          <w:szCs w:val="22"/>
        </w:rPr>
        <w:t>The estimated budget for incidental expenditure and expenditure verification are to be pre-filled in the template budget breakdown in the tender dossier.</w:t>
      </w:r>
      <w:r w:rsidRPr="00E84A51">
        <w:rPr>
          <w:sz w:val="22"/>
          <w:szCs w:val="22"/>
        </w:rPr>
        <w:t xml:space="preserve"> </w:t>
      </w:r>
    </w:p>
    <w:p w:rsidR="003436FE" w:rsidRPr="002B370E" w:rsidRDefault="00E22E88" w:rsidP="003436FE">
      <w:pPr>
        <w:shd w:val="clear" w:color="auto" w:fill="FFFFFF"/>
        <w:spacing w:before="120" w:after="120"/>
        <w:jc w:val="both"/>
        <w:rPr>
          <w:sz w:val="22"/>
          <w:szCs w:val="22"/>
        </w:rPr>
      </w:pPr>
      <w:r w:rsidRPr="00D35BAE">
        <w:rPr>
          <w:sz w:val="22"/>
          <w:szCs w:val="22"/>
        </w:rPr>
        <w:t>T</w:t>
      </w:r>
      <w:r w:rsidR="003436FE" w:rsidRPr="00D35BAE">
        <w:rPr>
          <w:sz w:val="22"/>
          <w:szCs w:val="22"/>
        </w:rPr>
        <w:t xml:space="preserve">he electronic version of the financial offer must be included with the printed version in the separate envelope in which the financial offer is submitted. If there are any discrepancies between the electronic version and the original, printed version, the latter will have precedence. Note that a schedule based on the ‘Estimated number of working days’ worksheet within this </w:t>
      </w:r>
      <w:r w:rsidR="00C3216F" w:rsidRPr="00D35BAE">
        <w:rPr>
          <w:sz w:val="22"/>
          <w:szCs w:val="22"/>
        </w:rPr>
        <w:t>spread sheet</w:t>
      </w:r>
      <w:r w:rsidR="003436FE" w:rsidRPr="00D35BAE">
        <w:rPr>
          <w:sz w:val="22"/>
          <w:szCs w:val="22"/>
        </w:rPr>
        <w:t xml:space="preserve"> must be included as part of the </w:t>
      </w:r>
      <w:r w:rsidR="00543D27" w:rsidRPr="00D35BAE">
        <w:rPr>
          <w:sz w:val="22"/>
          <w:szCs w:val="22"/>
        </w:rPr>
        <w:t>o</w:t>
      </w:r>
      <w:r w:rsidR="003436FE" w:rsidRPr="00D35BAE">
        <w:rPr>
          <w:sz w:val="22"/>
          <w:szCs w:val="22"/>
        </w:rPr>
        <w:t xml:space="preserve">rganisation and </w:t>
      </w:r>
      <w:r w:rsidR="00543D27" w:rsidRPr="00D35BAE">
        <w:rPr>
          <w:sz w:val="22"/>
          <w:szCs w:val="22"/>
        </w:rPr>
        <w:t>m</w:t>
      </w:r>
      <w:r w:rsidR="003436FE" w:rsidRPr="00D35BAE">
        <w:rPr>
          <w:sz w:val="22"/>
          <w:szCs w:val="22"/>
        </w:rPr>
        <w:t>ethodology in the technical offer.</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00520C9F">
        <w:rPr>
          <w:sz w:val="22"/>
          <w:szCs w:val="22"/>
        </w:rPr>
        <w:t>AMD 9,401,7</w:t>
      </w:r>
      <w:r w:rsidR="00E60110">
        <w:rPr>
          <w:sz w:val="22"/>
          <w:szCs w:val="22"/>
        </w:rPr>
        <w:t>00</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rsidR="00E60110" w:rsidRPr="00E00C91" w:rsidRDefault="00E60110" w:rsidP="00E60110">
      <w:pPr>
        <w:spacing w:before="120"/>
        <w:jc w:val="both"/>
        <w:rPr>
          <w:sz w:val="22"/>
          <w:szCs w:val="22"/>
        </w:rPr>
      </w:pPr>
      <w:r w:rsidRPr="00E00C91">
        <w:rPr>
          <w:sz w:val="22"/>
          <w:szCs w:val="22"/>
        </w:rPr>
        <w:t>All goods and services implemented for this project are granted tax exemption (VAT &amp; customs duties) in compliance with:</w:t>
      </w:r>
    </w:p>
    <w:p w:rsidR="00E60110" w:rsidRPr="00E00C91" w:rsidRDefault="00E60110" w:rsidP="00E60110">
      <w:pPr>
        <w:spacing w:before="120"/>
        <w:jc w:val="both"/>
        <w:rPr>
          <w:sz w:val="22"/>
          <w:szCs w:val="22"/>
        </w:rPr>
      </w:pPr>
      <w:r w:rsidRPr="00E00C91">
        <w:rPr>
          <w:sz w:val="22"/>
          <w:szCs w:val="22"/>
        </w:rPr>
        <w:lastRenderedPageBreak/>
        <w:t xml:space="preserve">The Framework Agreement between the European Commission and Republic of Armenia signed on April 4 </w:t>
      </w:r>
      <w:proofErr w:type="spellStart"/>
      <w:proofErr w:type="gramStart"/>
      <w:r w:rsidRPr="00E00C91">
        <w:rPr>
          <w:sz w:val="22"/>
          <w:szCs w:val="22"/>
          <w:vertAlign w:val="superscript"/>
        </w:rPr>
        <w:t>th</w:t>
      </w:r>
      <w:proofErr w:type="spellEnd"/>
      <w:proofErr w:type="gramEnd"/>
      <w:r w:rsidRPr="00E00C91">
        <w:rPr>
          <w:sz w:val="22"/>
          <w:szCs w:val="22"/>
        </w:rPr>
        <w:t>, 2006 and ratified by the Armenian Government:</w:t>
      </w:r>
    </w:p>
    <w:p w:rsidR="00E60110" w:rsidRPr="00E00C91" w:rsidRDefault="00E60110" w:rsidP="00E60110">
      <w:pPr>
        <w:numPr>
          <w:ilvl w:val="0"/>
          <w:numId w:val="48"/>
        </w:numPr>
        <w:spacing w:before="120"/>
        <w:jc w:val="both"/>
        <w:rPr>
          <w:sz w:val="22"/>
          <w:szCs w:val="22"/>
        </w:rPr>
      </w:pPr>
      <w:r w:rsidRPr="00E00C91">
        <w:rPr>
          <w:sz w:val="22"/>
          <w:szCs w:val="22"/>
        </w:rPr>
        <w:t xml:space="preserve">Decree 1112-N of September 23 </w:t>
      </w:r>
      <w:proofErr w:type="spellStart"/>
      <w:r w:rsidRPr="00E00C91">
        <w:rPr>
          <w:sz w:val="22"/>
          <w:szCs w:val="22"/>
          <w:vertAlign w:val="superscript"/>
        </w:rPr>
        <w:t>rd</w:t>
      </w:r>
      <w:proofErr w:type="spellEnd"/>
      <w:r w:rsidRPr="00E00C91">
        <w:rPr>
          <w:sz w:val="22"/>
          <w:szCs w:val="22"/>
          <w:vertAlign w:val="superscript"/>
        </w:rPr>
        <w:t xml:space="preserve"> </w:t>
      </w:r>
      <w:r w:rsidRPr="00E00C91">
        <w:rPr>
          <w:sz w:val="22"/>
          <w:szCs w:val="22"/>
        </w:rPr>
        <w:t>, 2009 and its Annex;</w:t>
      </w:r>
    </w:p>
    <w:p w:rsidR="003436FE" w:rsidRPr="00E60110" w:rsidRDefault="00E60110" w:rsidP="00E60110">
      <w:pPr>
        <w:numPr>
          <w:ilvl w:val="0"/>
          <w:numId w:val="48"/>
        </w:numPr>
        <w:spacing w:before="120"/>
        <w:jc w:val="both"/>
        <w:rPr>
          <w:sz w:val="22"/>
          <w:szCs w:val="22"/>
        </w:rPr>
      </w:pPr>
      <w:r w:rsidRPr="00E00C91">
        <w:rPr>
          <w:sz w:val="22"/>
          <w:szCs w:val="22"/>
        </w:rPr>
        <w:t xml:space="preserve">Decree 445-N of April 30 </w:t>
      </w:r>
      <w:proofErr w:type="spellStart"/>
      <w:proofErr w:type="gramStart"/>
      <w:r w:rsidRPr="00E00C91">
        <w:rPr>
          <w:sz w:val="22"/>
          <w:szCs w:val="22"/>
          <w:vertAlign w:val="superscript"/>
        </w:rPr>
        <w:t>th</w:t>
      </w:r>
      <w:proofErr w:type="spellEnd"/>
      <w:proofErr w:type="gramEnd"/>
      <w:r w:rsidRPr="00E00C91">
        <w:rPr>
          <w:sz w:val="22"/>
          <w:szCs w:val="22"/>
          <w:vertAlign w:val="superscript"/>
        </w:rPr>
        <w:t xml:space="preserve"> </w:t>
      </w:r>
      <w:r w:rsidRPr="00E00C91">
        <w:rPr>
          <w:sz w:val="22"/>
          <w:szCs w:val="22"/>
        </w:rPr>
        <w:t>2015 and Annex.</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p>
    <w:p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 xml:space="preserve">The tender dossier should be clear enough to avoid </w:t>
      </w:r>
      <w:r w:rsidR="00BC3DB7">
        <w:rPr>
          <w:sz w:val="22"/>
          <w:szCs w:val="22"/>
        </w:rPr>
        <w:t>tenderer</w:t>
      </w:r>
      <w:r w:rsidR="00BC3DB7" w:rsidRPr="002B370E">
        <w:rPr>
          <w:sz w:val="22"/>
          <w:szCs w:val="22"/>
        </w:rPr>
        <w:t xml:space="preserve">s </w:t>
      </w:r>
      <w:r w:rsidRPr="002B370E">
        <w:rPr>
          <w:sz w:val="22"/>
          <w:szCs w:val="22"/>
        </w:rPr>
        <w:t xml:space="preserve">having to request additional information during the procedure. If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w:t>
      </w:r>
      <w:r w:rsidR="000C5425">
        <w:rPr>
          <w:sz w:val="22"/>
          <w:szCs w:val="22"/>
        </w:rPr>
        <w:t>tenderer</w:t>
      </w:r>
      <w:r w:rsidRPr="002B370E">
        <w:rPr>
          <w:sz w:val="22"/>
          <w:szCs w:val="22"/>
        </w:rPr>
        <w:t xml:space="preserve">, provides additional information on the tender dossier, it must send such information in writing to all </w:t>
      </w:r>
      <w:r w:rsidR="000C5425">
        <w:rPr>
          <w:sz w:val="22"/>
          <w:szCs w:val="22"/>
        </w:rPr>
        <w:t>the tenderers</w:t>
      </w:r>
      <w:r w:rsidRPr="002B370E">
        <w:rPr>
          <w:sz w:val="22"/>
          <w:szCs w:val="22"/>
        </w:rPr>
        <w:t xml:space="preserve"> at the same time.</w:t>
      </w:r>
    </w:p>
    <w:p w:rsidR="003436FE" w:rsidRPr="002B370E" w:rsidRDefault="003436FE" w:rsidP="003436FE">
      <w:pPr>
        <w:keepNext/>
        <w:spacing w:before="120" w:after="120"/>
        <w:jc w:val="both"/>
        <w:rPr>
          <w:sz w:val="22"/>
          <w:szCs w:val="22"/>
        </w:rPr>
      </w:pPr>
      <w:r w:rsidRPr="002B370E">
        <w:rPr>
          <w:sz w:val="22"/>
          <w:szCs w:val="22"/>
        </w:rPr>
        <w:t xml:space="preserve">Tenderers may submit questions in writing to the following address up to </w:t>
      </w:r>
      <w:r w:rsidR="00520C9F">
        <w:rPr>
          <w:sz w:val="22"/>
          <w:szCs w:val="22"/>
        </w:rPr>
        <w:t>7</w:t>
      </w:r>
      <w:r w:rsidRPr="002B370E">
        <w:rPr>
          <w:sz w:val="22"/>
          <w:szCs w:val="22"/>
        </w:rPr>
        <w:t> days before the deadline for submission of tenders, specifying the publication reference and the contract title:</w:t>
      </w:r>
    </w:p>
    <w:p w:rsidR="00E60110" w:rsidRPr="00E60110" w:rsidRDefault="00E60110" w:rsidP="00E60110">
      <w:pPr>
        <w:rPr>
          <w:sz w:val="22"/>
          <w:szCs w:val="22"/>
        </w:rPr>
      </w:pPr>
      <w:r w:rsidRPr="00E60110">
        <w:rPr>
          <w:sz w:val="22"/>
          <w:szCs w:val="22"/>
        </w:rPr>
        <w:t xml:space="preserve">Contact name: </w:t>
      </w:r>
      <w:proofErr w:type="spellStart"/>
      <w:r w:rsidRPr="00E60110">
        <w:rPr>
          <w:sz w:val="22"/>
          <w:szCs w:val="22"/>
        </w:rPr>
        <w:t>Astghik</w:t>
      </w:r>
      <w:proofErr w:type="spellEnd"/>
      <w:r w:rsidRPr="00E60110">
        <w:rPr>
          <w:sz w:val="22"/>
          <w:szCs w:val="22"/>
        </w:rPr>
        <w:t xml:space="preserve"> </w:t>
      </w:r>
      <w:proofErr w:type="spellStart"/>
      <w:r w:rsidRPr="00E60110">
        <w:rPr>
          <w:sz w:val="22"/>
          <w:szCs w:val="22"/>
        </w:rPr>
        <w:t>Hovsepyan</w:t>
      </w:r>
      <w:proofErr w:type="spellEnd"/>
      <w:r w:rsidRPr="00E60110">
        <w:rPr>
          <w:sz w:val="22"/>
          <w:szCs w:val="22"/>
        </w:rPr>
        <w:br/>
        <w:t xml:space="preserve">Address: 22 </w:t>
      </w:r>
      <w:proofErr w:type="spellStart"/>
      <w:r w:rsidRPr="00E60110">
        <w:rPr>
          <w:sz w:val="22"/>
          <w:szCs w:val="22"/>
        </w:rPr>
        <w:t>Tigran</w:t>
      </w:r>
      <w:proofErr w:type="spellEnd"/>
      <w:r w:rsidRPr="00E60110">
        <w:rPr>
          <w:sz w:val="22"/>
          <w:szCs w:val="22"/>
        </w:rPr>
        <w:t xml:space="preserve"> Mets Av. 2001 </w:t>
      </w:r>
      <w:proofErr w:type="spellStart"/>
      <w:r w:rsidRPr="00E60110">
        <w:rPr>
          <w:sz w:val="22"/>
          <w:szCs w:val="22"/>
        </w:rPr>
        <w:t>Vanadzor</w:t>
      </w:r>
      <w:proofErr w:type="spellEnd"/>
      <w:r w:rsidRPr="00E60110">
        <w:rPr>
          <w:sz w:val="22"/>
          <w:szCs w:val="22"/>
        </w:rPr>
        <w:t>, Armenia</w:t>
      </w:r>
    </w:p>
    <w:p w:rsidR="003436FE" w:rsidRPr="002B370E" w:rsidRDefault="003436FE" w:rsidP="003436FE">
      <w:pPr>
        <w:pStyle w:val="BodyText"/>
        <w:spacing w:before="240"/>
        <w:rPr>
          <w:sz w:val="22"/>
          <w:szCs w:val="22"/>
        </w:rPr>
      </w:pPr>
      <w:r w:rsidRPr="00E60110">
        <w:rPr>
          <w:sz w:val="22"/>
          <w:szCs w:val="22"/>
        </w:rPr>
        <w:t>E-mail</w:t>
      </w:r>
      <w:r w:rsidR="00E60110" w:rsidRPr="00E60110">
        <w:rPr>
          <w:sz w:val="22"/>
          <w:szCs w:val="22"/>
        </w:rPr>
        <w:t>:</w:t>
      </w:r>
      <w:r w:rsidR="00E60110" w:rsidRPr="00E60110">
        <w:t xml:space="preserve"> </w:t>
      </w:r>
      <w:r w:rsidR="00E60110" w:rsidRPr="00E60110">
        <w:rPr>
          <w:sz w:val="22"/>
          <w:szCs w:val="22"/>
        </w:rPr>
        <w:t>ahovsepyan.abcgov@gmail.com</w:t>
      </w:r>
    </w:p>
    <w:p w:rsidR="003436FE" w:rsidRPr="002B370E" w:rsidRDefault="003436FE" w:rsidP="003436FE">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p>
    <w:p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rsidR="003436FE" w:rsidRPr="002B370E" w:rsidRDefault="003436FE" w:rsidP="003436FE">
      <w:pPr>
        <w:spacing w:before="120" w:after="120"/>
        <w:jc w:val="both"/>
        <w:rPr>
          <w:sz w:val="22"/>
          <w:szCs w:val="22"/>
        </w:rPr>
      </w:pPr>
      <w:r w:rsidRPr="002B370E">
        <w:rPr>
          <w:sz w:val="22"/>
          <w:szCs w:val="22"/>
        </w:rPr>
        <w:t xml:space="preserve">Tenders must be </w:t>
      </w:r>
      <w:r w:rsidR="00AB326E">
        <w:rPr>
          <w:sz w:val="22"/>
          <w:szCs w:val="22"/>
        </w:rPr>
        <w:t>sent</w:t>
      </w:r>
      <w:r>
        <w:rPr>
          <w:sz w:val="22"/>
          <w:szCs w:val="22"/>
        </w:rPr>
        <w:t xml:space="preserve"> </w:t>
      </w:r>
      <w:r w:rsidR="0014136C">
        <w:rPr>
          <w:sz w:val="22"/>
          <w:szCs w:val="22"/>
        </w:rPr>
        <w:t xml:space="preserve">to the </w:t>
      </w:r>
      <w:r w:rsidR="00491B4A">
        <w:rPr>
          <w:sz w:val="22"/>
          <w:szCs w:val="22"/>
        </w:rPr>
        <w:t>c</w:t>
      </w:r>
      <w:r w:rsidR="0014136C">
        <w:rPr>
          <w:sz w:val="22"/>
          <w:szCs w:val="22"/>
        </w:rPr>
        <w:t xml:space="preserve">ontracting </w:t>
      </w:r>
      <w:r w:rsidR="00491B4A">
        <w:rPr>
          <w:sz w:val="22"/>
          <w:szCs w:val="22"/>
        </w:rPr>
        <w:t>a</w:t>
      </w:r>
      <w:r w:rsidR="0014136C">
        <w:rPr>
          <w:sz w:val="22"/>
          <w:szCs w:val="22"/>
        </w:rPr>
        <w:t>uthority</w:t>
      </w:r>
      <w:r w:rsidRPr="002B370E">
        <w:rPr>
          <w:b/>
          <w:sz w:val="22"/>
          <w:szCs w:val="22"/>
        </w:rPr>
        <w:t xml:space="preserve"> </w:t>
      </w:r>
      <w:r w:rsidRPr="002B370E">
        <w:rPr>
          <w:sz w:val="22"/>
          <w:szCs w:val="22"/>
        </w:rPr>
        <w:t xml:space="preserve">before </w:t>
      </w:r>
      <w:r w:rsidR="0073127C">
        <w:rPr>
          <w:sz w:val="22"/>
          <w:szCs w:val="22"/>
        </w:rPr>
        <w:t>17:</w:t>
      </w:r>
      <w:r w:rsidR="0073127C" w:rsidRPr="00520C9F">
        <w:rPr>
          <w:sz w:val="22"/>
          <w:szCs w:val="22"/>
        </w:rPr>
        <w:t>00, 1</w:t>
      </w:r>
      <w:r w:rsidR="00520C9F" w:rsidRPr="00520C9F">
        <w:rPr>
          <w:sz w:val="22"/>
          <w:szCs w:val="22"/>
        </w:rPr>
        <w:t>4</w:t>
      </w:r>
      <w:r w:rsidR="0073127C" w:rsidRPr="00520C9F">
        <w:rPr>
          <w:sz w:val="22"/>
          <w:szCs w:val="22"/>
        </w:rPr>
        <w:t xml:space="preserve"> January, 2022</w:t>
      </w:r>
      <w:r w:rsidRPr="00520C9F">
        <w:rPr>
          <w:sz w:val="22"/>
          <w:szCs w:val="22"/>
        </w:rPr>
        <w:t>. They</w:t>
      </w:r>
      <w:r w:rsidRPr="002B370E">
        <w:rPr>
          <w:sz w:val="22"/>
          <w:szCs w:val="22"/>
        </w:rPr>
        <w:t xml:space="preserve"> must include the requested documents in clause 4 above and be s</w:t>
      </w:r>
      <w:r>
        <w:rPr>
          <w:sz w:val="22"/>
          <w:szCs w:val="22"/>
        </w:rPr>
        <w:t>ent</w:t>
      </w:r>
      <w:r w:rsidRPr="002B370E">
        <w:rPr>
          <w:sz w:val="22"/>
          <w:szCs w:val="22"/>
        </w:rPr>
        <w:t>:</w:t>
      </w:r>
    </w:p>
    <w:p w:rsidR="003436FE" w:rsidRPr="002B370E" w:rsidRDefault="003436FE" w:rsidP="00D44374">
      <w:pPr>
        <w:keepNext/>
        <w:keepLines/>
        <w:numPr>
          <w:ilvl w:val="0"/>
          <w:numId w:val="39"/>
        </w:numPr>
        <w:spacing w:before="120" w:after="120"/>
        <w:jc w:val="both"/>
        <w:rPr>
          <w:sz w:val="22"/>
          <w:szCs w:val="22"/>
        </w:rPr>
      </w:pPr>
      <w:r w:rsidRPr="002B370E">
        <w:rPr>
          <w:b/>
          <w:sz w:val="22"/>
          <w:szCs w:val="22"/>
        </w:rPr>
        <w:lastRenderedPageBreak/>
        <w:t>EITHER</w:t>
      </w:r>
      <w:r w:rsidRPr="002B370E">
        <w:rPr>
          <w:sz w:val="22"/>
          <w:szCs w:val="22"/>
        </w:rPr>
        <w:t xml:space="preserve"> by </w:t>
      </w:r>
      <w:r w:rsidR="00D44374" w:rsidRPr="00D44374">
        <w:rPr>
          <w:sz w:val="22"/>
          <w:szCs w:val="22"/>
        </w:rPr>
        <w:t>post or by courier service, in which case the evidence shall be constituted by the postmark or the date of the deposit slip</w:t>
      </w:r>
      <w:r w:rsidR="000570D7">
        <w:rPr>
          <w:rStyle w:val="FootnoteReference"/>
          <w:sz w:val="22"/>
          <w:szCs w:val="22"/>
        </w:rPr>
        <w:footnoteReference w:id="2"/>
      </w:r>
      <w:r w:rsidR="00D44374" w:rsidRPr="00D44374">
        <w:rPr>
          <w:sz w:val="22"/>
          <w:szCs w:val="22"/>
        </w:rPr>
        <w:t xml:space="preserve">, </w:t>
      </w:r>
      <w:r w:rsidRPr="002B370E">
        <w:rPr>
          <w:sz w:val="22"/>
          <w:szCs w:val="22"/>
        </w:rPr>
        <w:t>to:</w:t>
      </w:r>
    </w:p>
    <w:p w:rsidR="00BE4939" w:rsidRPr="00BE4939" w:rsidRDefault="00310A98" w:rsidP="00BE4939">
      <w:pPr>
        <w:pStyle w:val="Blockquote"/>
        <w:keepNext/>
        <w:keepLines/>
        <w:spacing w:before="120" w:after="120"/>
        <w:jc w:val="center"/>
        <w:rPr>
          <w:sz w:val="22"/>
          <w:szCs w:val="22"/>
          <w:lang w:val="en-GB"/>
        </w:rPr>
      </w:pPr>
      <w:proofErr w:type="spellStart"/>
      <w:r w:rsidRPr="00310A98">
        <w:rPr>
          <w:sz w:val="22"/>
          <w:szCs w:val="22"/>
          <w:lang w:val="en-GB"/>
        </w:rPr>
        <w:t>Vanadzor</w:t>
      </w:r>
      <w:proofErr w:type="spellEnd"/>
      <w:r w:rsidRPr="00310A98">
        <w:rPr>
          <w:sz w:val="22"/>
          <w:szCs w:val="22"/>
          <w:lang w:val="en-GB"/>
        </w:rPr>
        <w:t xml:space="preserve"> Municipality, 22 </w:t>
      </w:r>
      <w:proofErr w:type="spellStart"/>
      <w:r w:rsidRPr="00310A98">
        <w:rPr>
          <w:sz w:val="22"/>
          <w:szCs w:val="22"/>
          <w:lang w:val="en-GB"/>
        </w:rPr>
        <w:t>Tigran</w:t>
      </w:r>
      <w:proofErr w:type="spellEnd"/>
      <w:r w:rsidRPr="00310A98">
        <w:rPr>
          <w:sz w:val="22"/>
          <w:szCs w:val="22"/>
          <w:lang w:val="en-GB"/>
        </w:rPr>
        <w:t xml:space="preserve"> Mets Av. 2001 </w:t>
      </w:r>
      <w:proofErr w:type="spellStart"/>
      <w:r w:rsidRPr="00310A98">
        <w:rPr>
          <w:sz w:val="22"/>
          <w:szCs w:val="22"/>
          <w:lang w:val="en-GB"/>
        </w:rPr>
        <w:t>Vanadzor</w:t>
      </w:r>
      <w:proofErr w:type="spellEnd"/>
      <w:r w:rsidRPr="00310A98">
        <w:rPr>
          <w:sz w:val="22"/>
          <w:szCs w:val="22"/>
          <w:lang w:val="en-GB"/>
        </w:rPr>
        <w:t>, Armenia</w:t>
      </w:r>
      <w:r w:rsidR="00BE4939">
        <w:rPr>
          <w:sz w:val="22"/>
          <w:szCs w:val="22"/>
          <w:lang w:val="en-GB"/>
        </w:rPr>
        <w:t xml:space="preserve">, </w:t>
      </w:r>
      <w:r w:rsidR="00BE4939" w:rsidRPr="00BE4939">
        <w:rPr>
          <w:sz w:val="22"/>
          <w:szCs w:val="22"/>
          <w:lang w:val="en-GB"/>
        </w:rPr>
        <w:t>1st floor</w:t>
      </w:r>
    </w:p>
    <w:p w:rsidR="003436FE" w:rsidRDefault="00BE4939" w:rsidP="00BE4939">
      <w:pPr>
        <w:pStyle w:val="Blockquote"/>
        <w:keepNext/>
        <w:keepLines/>
        <w:spacing w:before="120" w:after="120"/>
        <w:jc w:val="center"/>
        <w:rPr>
          <w:rStyle w:val="Emphasis"/>
          <w:i w:val="0"/>
          <w:sz w:val="22"/>
          <w:szCs w:val="22"/>
          <w:lang w:val="en-GB"/>
        </w:rPr>
      </w:pPr>
      <w:r w:rsidRPr="00BE4939">
        <w:rPr>
          <w:sz w:val="22"/>
          <w:szCs w:val="22"/>
          <w:lang w:val="en-GB"/>
        </w:rPr>
        <w:t>Citizens' Service Office</w:t>
      </w:r>
      <w:r w:rsidR="003436FE" w:rsidRPr="002B370E">
        <w:rPr>
          <w:rStyle w:val="Emphasis"/>
          <w:sz w:val="22"/>
          <w:szCs w:val="22"/>
          <w:lang w:val="en-GB"/>
        </w:rPr>
        <w:br/>
      </w:r>
    </w:p>
    <w:p w:rsidR="003436FE" w:rsidRPr="002B370E" w:rsidRDefault="003436FE" w:rsidP="003436FE">
      <w:pPr>
        <w:numPr>
          <w:ilvl w:val="0"/>
          <w:numId w:val="39"/>
        </w:numPr>
        <w:spacing w:before="120" w:after="120"/>
        <w:jc w:val="both"/>
        <w:rPr>
          <w:sz w:val="22"/>
          <w:szCs w:val="22"/>
        </w:rPr>
      </w:pPr>
      <w:r w:rsidRPr="002B370E">
        <w:rPr>
          <w:b/>
          <w:sz w:val="22"/>
          <w:szCs w:val="22"/>
        </w:rPr>
        <w:t>OR</w:t>
      </w:r>
      <w:r w:rsidRPr="002B370E">
        <w:rPr>
          <w:sz w:val="22"/>
          <w:szCs w:val="22"/>
        </w:rPr>
        <w:t xml:space="preserve"> </w:t>
      </w:r>
      <w:r w:rsidRPr="002B370E">
        <w:rPr>
          <w:rStyle w:val="Strong"/>
          <w:b w:val="0"/>
          <w:sz w:val="22"/>
          <w:szCs w:val="22"/>
        </w:rPr>
        <w:t>hand delivered</w:t>
      </w:r>
      <w:r w:rsidRPr="002B370E">
        <w:rPr>
          <w:sz w:val="22"/>
          <w:szCs w:val="22"/>
        </w:rPr>
        <w:t xml:space="preserve"> </w:t>
      </w:r>
      <w:r w:rsidR="00D44374" w:rsidRPr="005A61EC">
        <w:rPr>
          <w:sz w:val="22"/>
          <w:szCs w:val="22"/>
        </w:rPr>
        <w:t>by the participant in person or by an agent</w:t>
      </w:r>
      <w:r w:rsidR="00D44374" w:rsidRPr="00D225CC">
        <w:rPr>
          <w:rStyle w:val="Strong"/>
          <w:b w:val="0"/>
          <w:sz w:val="22"/>
          <w:szCs w:val="22"/>
        </w:rPr>
        <w:t xml:space="preserve"> directly</w:t>
      </w:r>
      <w:r w:rsidR="00D44374" w:rsidRPr="00D225CC">
        <w:rPr>
          <w:sz w:val="22"/>
          <w:szCs w:val="22"/>
        </w:rPr>
        <w:t xml:space="preserve"> to</w:t>
      </w:r>
      <w:r w:rsidR="00D44374">
        <w:rPr>
          <w:sz w:val="22"/>
          <w:szCs w:val="22"/>
        </w:rPr>
        <w:t xml:space="preserve"> the premises of</w:t>
      </w:r>
      <w:r w:rsidR="00D44374" w:rsidRPr="00D225CC">
        <w:rPr>
          <w:sz w:val="22"/>
          <w:szCs w:val="22"/>
        </w:rPr>
        <w:t xml:space="preserve"> the </w:t>
      </w:r>
      <w:r w:rsidR="00D44374">
        <w:rPr>
          <w:sz w:val="22"/>
          <w:szCs w:val="22"/>
        </w:rPr>
        <w:t>c</w:t>
      </w:r>
      <w:r w:rsidR="00D44374" w:rsidRPr="00D225CC">
        <w:rPr>
          <w:sz w:val="22"/>
          <w:szCs w:val="22"/>
        </w:rPr>
        <w:t xml:space="preserve">ontracting </w:t>
      </w:r>
      <w:r w:rsidR="00D44374">
        <w:rPr>
          <w:sz w:val="22"/>
          <w:szCs w:val="22"/>
        </w:rPr>
        <w:t>a</w:t>
      </w:r>
      <w:r w:rsidR="00D44374" w:rsidRPr="00D225CC">
        <w:rPr>
          <w:sz w:val="22"/>
          <w:szCs w:val="22"/>
        </w:rPr>
        <w:t>uthority</w:t>
      </w:r>
      <w:r w:rsidR="00D44374" w:rsidRPr="005A61EC">
        <w:rPr>
          <w:sz w:val="22"/>
          <w:szCs w:val="22"/>
        </w:rPr>
        <w:t xml:space="preserve"> </w:t>
      </w:r>
      <w:r w:rsidR="00D44374" w:rsidRPr="00D225CC">
        <w:rPr>
          <w:sz w:val="22"/>
          <w:szCs w:val="22"/>
        </w:rPr>
        <w:t xml:space="preserve">in return for a </w:t>
      </w:r>
      <w:r w:rsidR="00D44374" w:rsidRPr="00D225CC">
        <w:rPr>
          <w:rStyle w:val="Strong"/>
          <w:b w:val="0"/>
          <w:sz w:val="22"/>
          <w:szCs w:val="22"/>
        </w:rPr>
        <w:t>signed and dated receipt</w:t>
      </w:r>
      <w:r w:rsidR="00D44374" w:rsidRPr="005A61EC">
        <w:rPr>
          <w:sz w:val="22"/>
          <w:szCs w:val="22"/>
        </w:rPr>
        <w:t>, in which case the evid</w:t>
      </w:r>
      <w:r w:rsidR="00D44374">
        <w:rPr>
          <w:sz w:val="22"/>
          <w:szCs w:val="22"/>
        </w:rPr>
        <w:t xml:space="preserve">ence shall be constituted by this acknowledgement of receipt, </w:t>
      </w:r>
      <w:r w:rsidRPr="002B370E">
        <w:rPr>
          <w:sz w:val="22"/>
          <w:szCs w:val="22"/>
        </w:rPr>
        <w:t>to:</w:t>
      </w:r>
    </w:p>
    <w:p w:rsidR="003436FE" w:rsidRDefault="00310A98" w:rsidP="00310A98">
      <w:pPr>
        <w:pStyle w:val="Blockquote"/>
        <w:spacing w:before="120" w:after="120"/>
        <w:jc w:val="center"/>
        <w:rPr>
          <w:rStyle w:val="Emphasis"/>
          <w:i w:val="0"/>
          <w:sz w:val="22"/>
          <w:szCs w:val="22"/>
          <w:lang w:val="en-GB"/>
        </w:rPr>
      </w:pPr>
      <w:proofErr w:type="spellStart"/>
      <w:r w:rsidRPr="00310A98">
        <w:rPr>
          <w:rStyle w:val="Emphasis"/>
          <w:i w:val="0"/>
          <w:sz w:val="22"/>
          <w:szCs w:val="22"/>
          <w:lang w:val="en-GB"/>
        </w:rPr>
        <w:t>Vanadzor</w:t>
      </w:r>
      <w:proofErr w:type="spellEnd"/>
      <w:r w:rsidRPr="00310A98">
        <w:rPr>
          <w:rStyle w:val="Emphasis"/>
          <w:i w:val="0"/>
          <w:sz w:val="22"/>
          <w:szCs w:val="22"/>
          <w:lang w:val="en-GB"/>
        </w:rPr>
        <w:t xml:space="preserve"> Municipality, 22 </w:t>
      </w:r>
      <w:proofErr w:type="spellStart"/>
      <w:r w:rsidRPr="00310A98">
        <w:rPr>
          <w:rStyle w:val="Emphasis"/>
          <w:i w:val="0"/>
          <w:sz w:val="22"/>
          <w:szCs w:val="22"/>
          <w:lang w:val="en-GB"/>
        </w:rPr>
        <w:t>Tigran</w:t>
      </w:r>
      <w:proofErr w:type="spellEnd"/>
      <w:r w:rsidRPr="00310A98">
        <w:rPr>
          <w:rStyle w:val="Emphasis"/>
          <w:i w:val="0"/>
          <w:sz w:val="22"/>
          <w:szCs w:val="22"/>
          <w:lang w:val="en-GB"/>
        </w:rPr>
        <w:t xml:space="preserve"> Mets Av. 2001 </w:t>
      </w:r>
      <w:proofErr w:type="spellStart"/>
      <w:r w:rsidRPr="0073127C">
        <w:rPr>
          <w:rStyle w:val="Emphasis"/>
          <w:i w:val="0"/>
          <w:sz w:val="22"/>
          <w:szCs w:val="22"/>
          <w:lang w:val="en-GB"/>
        </w:rPr>
        <w:t>Vanadzor</w:t>
      </w:r>
      <w:proofErr w:type="spellEnd"/>
      <w:r w:rsidRPr="0073127C">
        <w:rPr>
          <w:rStyle w:val="Emphasis"/>
          <w:i w:val="0"/>
          <w:sz w:val="22"/>
          <w:szCs w:val="22"/>
          <w:lang w:val="en-GB"/>
        </w:rPr>
        <w:t xml:space="preserve">, Armenia, </w:t>
      </w:r>
      <w:r w:rsidR="00BE4939" w:rsidRPr="0073127C">
        <w:rPr>
          <w:rStyle w:val="Emphasis"/>
          <w:i w:val="0"/>
          <w:sz w:val="22"/>
          <w:szCs w:val="22"/>
          <w:lang w:val="en-GB"/>
        </w:rPr>
        <w:t xml:space="preserve">Citizens' Service Office, </w:t>
      </w:r>
      <w:r w:rsidR="00D35BAE" w:rsidRPr="0073127C">
        <w:rPr>
          <w:sz w:val="22"/>
          <w:szCs w:val="22"/>
          <w:lang w:val="en-GB"/>
        </w:rPr>
        <w:t>1st floor,</w:t>
      </w:r>
      <w:r w:rsidR="00D35BAE" w:rsidRPr="0073127C">
        <w:rPr>
          <w:rStyle w:val="Emphasis"/>
          <w:i w:val="0"/>
          <w:sz w:val="22"/>
          <w:szCs w:val="22"/>
          <w:lang w:val="en-GB"/>
        </w:rPr>
        <w:t xml:space="preserve"> </w:t>
      </w:r>
      <w:r w:rsidRPr="0073127C">
        <w:rPr>
          <w:rStyle w:val="Emphasis"/>
          <w:i w:val="0"/>
          <w:sz w:val="22"/>
          <w:szCs w:val="22"/>
          <w:lang w:val="en-GB"/>
        </w:rPr>
        <w:t>business hours 09:00-1</w:t>
      </w:r>
      <w:r w:rsidR="00FB620D" w:rsidRPr="0073127C">
        <w:rPr>
          <w:rStyle w:val="Emphasis"/>
          <w:i w:val="0"/>
          <w:sz w:val="22"/>
          <w:szCs w:val="22"/>
          <w:lang w:val="en-GB"/>
        </w:rPr>
        <w:t>7</w:t>
      </w:r>
      <w:r w:rsidRPr="0073127C">
        <w:rPr>
          <w:rStyle w:val="Emphasis"/>
          <w:i w:val="0"/>
          <w:sz w:val="22"/>
          <w:szCs w:val="22"/>
          <w:lang w:val="en-GB"/>
        </w:rPr>
        <w:t>:00</w:t>
      </w:r>
    </w:p>
    <w:p w:rsidR="00D44374" w:rsidRDefault="003436FE" w:rsidP="003436FE">
      <w:pPr>
        <w:spacing w:before="120" w:after="120"/>
        <w:jc w:val="both"/>
        <w:rPr>
          <w:rStyle w:val="Strong"/>
          <w:sz w:val="22"/>
          <w:szCs w:val="22"/>
        </w:rPr>
      </w:pPr>
      <w:r w:rsidRPr="002B370E">
        <w:rPr>
          <w:rStyle w:val="Strong"/>
          <w:sz w:val="22"/>
          <w:szCs w:val="22"/>
        </w:rPr>
        <w:t xml:space="preserve">Tenders submitted by any other means will not be considered. </w:t>
      </w:r>
    </w:p>
    <w:p w:rsidR="007B7D7B" w:rsidRDefault="007B7D7B" w:rsidP="009A733A">
      <w:pPr>
        <w:pStyle w:val="Blockquote"/>
        <w:ind w:left="0" w:right="26"/>
        <w:jc w:val="both"/>
        <w:rPr>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rsidR="003436FE" w:rsidRPr="002B370E" w:rsidRDefault="003436FE" w:rsidP="003436FE">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543D27">
        <w:rPr>
          <w:sz w:val="22"/>
          <w:szCs w:val="22"/>
        </w:rPr>
        <w:t>t</w:t>
      </w:r>
      <w:r w:rsidRPr="002B370E">
        <w:rPr>
          <w:sz w:val="22"/>
          <w:szCs w:val="22"/>
        </w:rPr>
        <w:t>ender submission form, statements of exclusivity and availability of the key experts and declarations).</w:t>
      </w:r>
    </w:p>
    <w:p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rsidR="003436FE" w:rsidRPr="002B370E" w:rsidRDefault="003436FE" w:rsidP="00BE4939">
      <w:pPr>
        <w:numPr>
          <w:ilvl w:val="0"/>
          <w:numId w:val="24"/>
        </w:numPr>
        <w:tabs>
          <w:tab w:val="clear" w:pos="861"/>
          <w:tab w:val="num" w:pos="450"/>
        </w:tabs>
        <w:spacing w:before="120" w:after="120"/>
        <w:ind w:hanging="681"/>
        <w:rPr>
          <w:sz w:val="22"/>
          <w:szCs w:val="22"/>
        </w:rPr>
      </w:pPr>
      <w:r w:rsidRPr="002B370E">
        <w:rPr>
          <w:sz w:val="22"/>
          <w:szCs w:val="22"/>
        </w:rPr>
        <w:t>the reference code of the tender procedure (i</w:t>
      </w:r>
      <w:r>
        <w:rPr>
          <w:sz w:val="22"/>
          <w:szCs w:val="22"/>
        </w:rPr>
        <w:t>.</w:t>
      </w:r>
      <w:r w:rsidRPr="002B370E">
        <w:rPr>
          <w:sz w:val="22"/>
          <w:szCs w:val="22"/>
        </w:rPr>
        <w:t>e</w:t>
      </w:r>
      <w:r>
        <w:rPr>
          <w:sz w:val="22"/>
          <w:szCs w:val="22"/>
        </w:rPr>
        <w:t>.</w:t>
      </w:r>
      <w:r w:rsidRPr="002B370E">
        <w:rPr>
          <w:sz w:val="22"/>
          <w:szCs w:val="22"/>
        </w:rPr>
        <w:t xml:space="preserve"> </w:t>
      </w:r>
      <w:r w:rsidR="00BE4939" w:rsidRPr="00BE4939">
        <w:rPr>
          <w:sz w:val="22"/>
          <w:szCs w:val="22"/>
        </w:rPr>
        <w:t>TS/2020/421-733_VM/Ser-31</w:t>
      </w:r>
      <w:r w:rsidRPr="002B370E">
        <w:rPr>
          <w:sz w:val="22"/>
          <w:szCs w:val="22"/>
        </w:rPr>
        <w:t>);</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 xml:space="preserve">the words </w:t>
      </w:r>
      <w:r>
        <w:rPr>
          <w:sz w:val="22"/>
          <w:szCs w:val="22"/>
        </w:rPr>
        <w:t>‘</w:t>
      </w:r>
      <w:r w:rsidRPr="002B370E">
        <w:rPr>
          <w:sz w:val="22"/>
          <w:szCs w:val="22"/>
        </w:rPr>
        <w:t>Not to be opened before the tender-opening session</w:t>
      </w:r>
      <w:r>
        <w:rPr>
          <w:sz w:val="22"/>
          <w:szCs w:val="22"/>
        </w:rPr>
        <w:t>’</w:t>
      </w:r>
      <w:r w:rsidRPr="002B370E">
        <w:rPr>
          <w:sz w:val="22"/>
          <w:szCs w:val="22"/>
        </w:rPr>
        <w:t xml:space="preserve"> and </w:t>
      </w:r>
      <w:r w:rsidR="00BE4939" w:rsidRPr="00B57297">
        <w:rPr>
          <w:rFonts w:ascii="Sylfaen" w:hAnsi="Sylfaen"/>
          <w:sz w:val="22"/>
          <w:lang w:val="en-US"/>
        </w:rPr>
        <w:t>«</w:t>
      </w:r>
      <w:r w:rsidR="00BE4939" w:rsidRPr="00B57297">
        <w:rPr>
          <w:rFonts w:ascii="Sylfaen" w:hAnsi="Sylfaen"/>
          <w:sz w:val="22"/>
          <w:lang w:val="ru-RU"/>
        </w:rPr>
        <w:t>Չբացել</w:t>
      </w:r>
      <w:r w:rsidR="00BE4939" w:rsidRPr="00B57297">
        <w:rPr>
          <w:rFonts w:ascii="Sylfaen" w:hAnsi="Sylfaen"/>
          <w:sz w:val="22"/>
          <w:lang w:val="en-US"/>
        </w:rPr>
        <w:t xml:space="preserve"> </w:t>
      </w:r>
      <w:r w:rsidR="00BE4939" w:rsidRPr="00B57297">
        <w:rPr>
          <w:rFonts w:ascii="Sylfaen" w:hAnsi="Sylfaen"/>
          <w:sz w:val="22"/>
          <w:lang w:val="ru-RU"/>
        </w:rPr>
        <w:t>մինչև</w:t>
      </w:r>
      <w:r w:rsidR="00BE4939" w:rsidRPr="00B57297">
        <w:rPr>
          <w:rFonts w:ascii="Sylfaen" w:hAnsi="Sylfaen"/>
          <w:sz w:val="22"/>
          <w:lang w:val="en-US"/>
        </w:rPr>
        <w:t xml:space="preserve"> </w:t>
      </w:r>
      <w:r w:rsidR="00BE4939" w:rsidRPr="00B57297">
        <w:rPr>
          <w:rFonts w:ascii="Sylfaen" w:hAnsi="Sylfaen"/>
          <w:sz w:val="22"/>
          <w:lang w:val="hy-AM"/>
        </w:rPr>
        <w:t xml:space="preserve">մրցութային հայտերի </w:t>
      </w:r>
      <w:r w:rsidR="00BE4939" w:rsidRPr="00B57297">
        <w:rPr>
          <w:rFonts w:ascii="Sylfaen" w:hAnsi="Sylfaen"/>
          <w:sz w:val="22"/>
          <w:lang w:val="en-US"/>
        </w:rPr>
        <w:t xml:space="preserve"> </w:t>
      </w:r>
      <w:r w:rsidR="00BE4939" w:rsidRPr="00B57297">
        <w:rPr>
          <w:rFonts w:ascii="Sylfaen" w:hAnsi="Sylfaen"/>
          <w:sz w:val="22"/>
          <w:lang w:val="ru-RU"/>
        </w:rPr>
        <w:t>բացման</w:t>
      </w:r>
      <w:r w:rsidR="00BE4939" w:rsidRPr="00B57297">
        <w:rPr>
          <w:rFonts w:ascii="Sylfaen" w:hAnsi="Sylfaen"/>
          <w:sz w:val="22"/>
          <w:lang w:val="en-US"/>
        </w:rPr>
        <w:t xml:space="preserve"> </w:t>
      </w:r>
      <w:r w:rsidR="00BE4939" w:rsidRPr="00B57297">
        <w:rPr>
          <w:rFonts w:ascii="Sylfaen" w:hAnsi="Sylfaen"/>
          <w:sz w:val="22"/>
          <w:lang w:val="ru-RU"/>
        </w:rPr>
        <w:t>նիստը</w:t>
      </w:r>
      <w:r w:rsidR="00BE4939" w:rsidRPr="00B57297">
        <w:rPr>
          <w:rFonts w:ascii="Sylfaen" w:hAnsi="Sylfaen"/>
          <w:sz w:val="22"/>
          <w:lang w:val="en-US"/>
        </w:rPr>
        <w:t>»</w:t>
      </w:r>
      <w:r w:rsidRPr="002B370E">
        <w:rPr>
          <w:sz w:val="22"/>
          <w:szCs w:val="22"/>
        </w:rPr>
        <w:t>;</w:t>
      </w:r>
    </w:p>
    <w:p w:rsidR="003436FE" w:rsidRPr="002B370E" w:rsidRDefault="003436FE" w:rsidP="003436FE">
      <w:pPr>
        <w:numPr>
          <w:ilvl w:val="0"/>
          <w:numId w:val="24"/>
        </w:numPr>
        <w:tabs>
          <w:tab w:val="clear" w:pos="861"/>
        </w:tabs>
        <w:spacing w:before="120" w:after="120"/>
        <w:ind w:left="426" w:hanging="284"/>
        <w:rPr>
          <w:sz w:val="22"/>
          <w:szCs w:val="22"/>
        </w:rPr>
      </w:pPr>
      <w:proofErr w:type="gramStart"/>
      <w:r w:rsidRPr="002B370E">
        <w:rPr>
          <w:sz w:val="22"/>
          <w:szCs w:val="22"/>
        </w:rPr>
        <w:t>the</w:t>
      </w:r>
      <w:proofErr w:type="gramEnd"/>
      <w:r w:rsidRPr="002B370E">
        <w:rPr>
          <w:sz w:val="22"/>
          <w:szCs w:val="22"/>
        </w:rPr>
        <w:t xml:space="preserve"> name of the tenderer.</w:t>
      </w:r>
    </w:p>
    <w:p w:rsidR="003436FE" w:rsidRPr="002B370E" w:rsidRDefault="003436FE" w:rsidP="003436FE">
      <w:pPr>
        <w:spacing w:before="120" w:after="120"/>
        <w:jc w:val="both"/>
        <w:rPr>
          <w:sz w:val="22"/>
          <w:szCs w:val="22"/>
        </w:rPr>
      </w:pPr>
      <w:r w:rsidRPr="002B370E">
        <w:rPr>
          <w:sz w:val="22"/>
          <w:szCs w:val="22"/>
        </w:rPr>
        <w:t xml:space="preserve">The pages of the </w:t>
      </w:r>
      <w:r w:rsidR="00543D27">
        <w:rPr>
          <w:sz w:val="22"/>
          <w:szCs w:val="22"/>
        </w:rPr>
        <w:t>t</w:t>
      </w:r>
      <w:r w:rsidRPr="002B370E">
        <w:rPr>
          <w:sz w:val="22"/>
          <w:szCs w:val="22"/>
        </w:rPr>
        <w:t xml:space="preserve">echnical and </w:t>
      </w:r>
      <w:r w:rsidR="00543D27">
        <w:rPr>
          <w:sz w:val="22"/>
          <w:szCs w:val="22"/>
        </w:rPr>
        <w:t>f</w:t>
      </w:r>
      <w:r w:rsidRPr="002B370E">
        <w:rPr>
          <w:sz w:val="22"/>
          <w:szCs w:val="22"/>
        </w:rPr>
        <w:t>inancial offers must be numbered.</w:t>
      </w:r>
    </w:p>
    <w:p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Costs for preparing tenders</w:t>
      </w:r>
    </w:p>
    <w:p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rsidR="003436FE" w:rsidRDefault="003436FE" w:rsidP="00A94AD3">
      <w:pPr>
        <w:pStyle w:val="BodyText"/>
        <w:spacing w:before="120" w:after="120"/>
        <w:jc w:val="both"/>
        <w:rPr>
          <w:sz w:val="22"/>
          <w:szCs w:val="22"/>
        </w:rPr>
      </w:pPr>
      <w:r w:rsidRPr="002B370E">
        <w:rPr>
          <w:sz w:val="22"/>
          <w:szCs w:val="22"/>
        </w:rPr>
        <w:t xml:space="preserve">The evaluation of the technical offers will follow the procedures set out in Section 3.3.10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1" w:history="1">
        <w:r w:rsidR="00996707" w:rsidRPr="005D1583">
          <w:rPr>
            <w:rStyle w:val="Hyperlink"/>
            <w:sz w:val="22"/>
            <w:szCs w:val="22"/>
          </w:rPr>
          <w:t>http://ec.europa.eu/europeaid/prag/document.do</w:t>
        </w:r>
      </w:hyperlink>
      <w:r w:rsidRPr="0059570B">
        <w:rPr>
          <w:sz w:val="22"/>
          <w:szCs w:val="22"/>
        </w:rPr>
        <w:t>).</w:t>
      </w:r>
    </w:p>
    <w:p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BF0BD3">
        <w:rPr>
          <w:sz w:val="22"/>
          <w:szCs w:val="22"/>
        </w:rPr>
        <w:t>75</w:t>
      </w:r>
      <w:r w:rsidR="00BF0BD3" w:rsidRPr="002B370E">
        <w:rPr>
          <w:sz w:val="22"/>
          <w:szCs w:val="22"/>
        </w:rPr>
        <w:t xml:space="preserve"> </w:t>
      </w:r>
      <w:r w:rsidRPr="002B370E">
        <w:rPr>
          <w:sz w:val="22"/>
          <w:szCs w:val="22"/>
        </w:rPr>
        <w:t xml:space="preserve">points or more). Tenders exceeding the maximum budget available for the contract </w:t>
      </w:r>
      <w:r w:rsidR="0022643A">
        <w:rPr>
          <w:sz w:val="22"/>
          <w:szCs w:val="22"/>
        </w:rPr>
        <w:t xml:space="preserve">are unacceptable and </w:t>
      </w:r>
      <w:r w:rsidRPr="002B370E">
        <w:rPr>
          <w:sz w:val="22"/>
          <w:szCs w:val="22"/>
        </w:rPr>
        <w:t>will be eliminated.</w:t>
      </w:r>
    </w:p>
    <w:p w:rsidR="003436FE" w:rsidRPr="0038650E" w:rsidRDefault="003436FE" w:rsidP="003436FE">
      <w:pPr>
        <w:spacing w:before="120" w:after="120"/>
        <w:jc w:val="both"/>
        <w:rPr>
          <w:sz w:val="22"/>
          <w:szCs w:val="22"/>
        </w:rPr>
      </w:pPr>
      <w:r w:rsidRPr="0038650E">
        <w:rPr>
          <w:sz w:val="22"/>
          <w:szCs w:val="22"/>
        </w:rPr>
        <w:t xml:space="preserve">The provision for incidental expenditure and the provision for expenditure verification stated in the </w:t>
      </w:r>
      <w:r w:rsidR="00543D27" w:rsidRPr="0038650E">
        <w:rPr>
          <w:sz w:val="22"/>
          <w:szCs w:val="22"/>
        </w:rPr>
        <w:t>t</w:t>
      </w:r>
      <w:r w:rsidRPr="0038650E">
        <w:rPr>
          <w:sz w:val="22"/>
          <w:szCs w:val="22"/>
        </w:rPr>
        <w:t xml:space="preserve">erms of </w:t>
      </w:r>
      <w:r w:rsidR="00543D27" w:rsidRPr="0038650E">
        <w:rPr>
          <w:sz w:val="22"/>
          <w:szCs w:val="22"/>
        </w:rPr>
        <w:t>r</w:t>
      </w:r>
      <w:r w:rsidRPr="0038650E">
        <w:rPr>
          <w:sz w:val="22"/>
          <w:szCs w:val="22"/>
        </w:rPr>
        <w:t>eference and to be included in the budget breakdown will not be taken into account in the comparison of the financial offers.</w:t>
      </w:r>
    </w:p>
    <w:p w:rsidR="003436FE" w:rsidRDefault="003436FE" w:rsidP="003436FE">
      <w:pPr>
        <w:spacing w:before="120" w:after="120"/>
        <w:jc w:val="both"/>
        <w:rPr>
          <w:sz w:val="22"/>
          <w:szCs w:val="22"/>
        </w:rPr>
      </w:pPr>
      <w:r w:rsidRPr="0038650E">
        <w:rPr>
          <w:sz w:val="22"/>
          <w:szCs w:val="22"/>
        </w:rPr>
        <w:t xml:space="preserve">Any arithmetical errors are corrected without penalty to the tenderer such that, if there is a discrepancy between a fee rate and the total amount derived from multiplying the fee rate by the corresponding number of working days, the fee rate as quoted must prevail, unless the opinion of the </w:t>
      </w:r>
      <w:r w:rsidR="00543D27" w:rsidRPr="0038650E">
        <w:rPr>
          <w:sz w:val="22"/>
          <w:szCs w:val="22"/>
        </w:rPr>
        <w:t>e</w:t>
      </w:r>
      <w:r w:rsidRPr="0038650E">
        <w:rPr>
          <w:sz w:val="22"/>
          <w:szCs w:val="22"/>
        </w:rPr>
        <w:t xml:space="preserve">valuation </w:t>
      </w:r>
      <w:r w:rsidR="00543D27" w:rsidRPr="0038650E">
        <w:rPr>
          <w:sz w:val="22"/>
          <w:szCs w:val="22"/>
        </w:rPr>
        <w:t>c</w:t>
      </w:r>
      <w:r w:rsidRPr="0038650E">
        <w:rPr>
          <w:sz w:val="22"/>
          <w:szCs w:val="22"/>
        </w:rPr>
        <w:t>ommittee contains an obvious error in the fee rate, in which event the total amount as quoted must prevail and the fee rate must be corrected</w:t>
      </w:r>
      <w:r w:rsidR="0038650E" w:rsidRPr="0038650E">
        <w:rPr>
          <w:sz w:val="22"/>
          <w:szCs w:val="22"/>
        </w:rPr>
        <w:t>.</w:t>
      </w:r>
    </w:p>
    <w:p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Ethics clauses / Corruptive practices</w:t>
      </w:r>
    </w:p>
    <w:p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staff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3436FE" w:rsidRPr="002B370E" w:rsidRDefault="00121005" w:rsidP="009A733A">
      <w:pPr>
        <w:spacing w:before="120" w:after="120"/>
        <w:ind w:left="567" w:hanging="567"/>
        <w:jc w:val="both"/>
        <w:rPr>
          <w:sz w:val="22"/>
          <w:szCs w:val="22"/>
        </w:rPr>
      </w:pPr>
      <w:r>
        <w:rPr>
          <w:sz w:val="22"/>
          <w:szCs w:val="22"/>
        </w:rPr>
        <w:lastRenderedPageBreak/>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rsidR="003436FE" w:rsidRPr="002B370E" w:rsidRDefault="00121005" w:rsidP="003436FE">
      <w:pPr>
        <w:spacing w:before="120" w:after="120"/>
        <w:ind w:left="567" w:hanging="567"/>
        <w:jc w:val="both"/>
        <w:rPr>
          <w:sz w:val="22"/>
          <w:szCs w:val="22"/>
        </w:rPr>
      </w:pPr>
      <w:r>
        <w:rPr>
          <w:sz w:val="22"/>
          <w:szCs w:val="22"/>
          <w:u w:val="single"/>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rsidR="003436FE" w:rsidRPr="002B370E" w:rsidRDefault="00241985" w:rsidP="003436FE">
      <w:pPr>
        <w:pStyle w:val="BodyText2"/>
        <w:tabs>
          <w:tab w:val="clear" w:pos="567"/>
          <w:tab w:val="left" w:pos="0"/>
          <w:tab w:val="left" w:pos="630"/>
        </w:tabs>
        <w:spacing w:before="120" w:after="120"/>
        <w:rPr>
          <w:sz w:val="22"/>
          <w:szCs w:val="22"/>
        </w:rPr>
      </w:pPr>
      <w:r>
        <w:rPr>
          <w:sz w:val="22"/>
          <w:szCs w:val="22"/>
        </w:rPr>
        <w:t>Within 1</w:t>
      </w:r>
      <w:r w:rsidR="003436FE" w:rsidRPr="002B370E">
        <w:rPr>
          <w:sz w:val="22"/>
          <w:szCs w:val="22"/>
        </w:rPr>
        <w:t xml:space="preserve">0 days of receipt of the contract already signed by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the selected tenderer shall sign and date the contract and return it to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uthority.</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 The validity of the offer of the second best tenderer will be kept.</w:t>
      </w:r>
      <w:r w:rsidR="007A0123">
        <w:rPr>
          <w:rStyle w:val="Style11pt"/>
        </w:rPr>
        <w:t xml:space="preserve"> The second tenderer may refuse the award of the contract if, when receiving a notification of award, the 90 days of validity of their tender has expired.</w:t>
      </w:r>
    </w:p>
    <w:p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lastRenderedPageBreak/>
        <w:t xml:space="preserve">all technically </w:t>
      </w:r>
      <w:r w:rsidR="0022643A">
        <w:rPr>
          <w:sz w:val="22"/>
          <w:szCs w:val="22"/>
        </w:rPr>
        <w:t>acceptable</w:t>
      </w:r>
      <w:r w:rsidRPr="002B370E">
        <w:rPr>
          <w:sz w:val="22"/>
          <w:szCs w:val="22"/>
        </w:rPr>
        <w:t xml:space="preserve"> tenders exceed the financial resources available;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w:t>
      </w:r>
      <w:proofErr w:type="gramStart"/>
      <w:r w:rsidRPr="002B370E">
        <w:rPr>
          <w:sz w:val="22"/>
          <w:szCs w:val="22"/>
        </w:rPr>
        <w:t>of</w:t>
      </w:r>
      <w:proofErr w:type="gramEnd"/>
      <w:r w:rsidRPr="002B370E">
        <w:rPr>
          <w:sz w:val="22"/>
          <w:szCs w:val="22"/>
        </w:rPr>
        <w:t xml:space="preserve">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rsidR="00EB1484" w:rsidRPr="00FF1FE0" w:rsidRDefault="00EB1484" w:rsidP="00EB1484">
      <w:pPr>
        <w:keepNext/>
        <w:spacing w:before="120" w:after="120"/>
        <w:jc w:val="both"/>
        <w:rPr>
          <w:b/>
          <w:bCs/>
          <w:sz w:val="24"/>
          <w:szCs w:val="24"/>
        </w:rPr>
      </w:pPr>
      <w:r w:rsidRPr="00FF1FE0">
        <w:rPr>
          <w:b/>
          <w:bCs/>
          <w:sz w:val="24"/>
          <w:szCs w:val="24"/>
        </w:rPr>
        <w:t>17. Data Protection</w:t>
      </w:r>
    </w:p>
    <w:p w:rsidR="00EB1484" w:rsidRPr="0038650E" w:rsidRDefault="00EB1484" w:rsidP="0089466D">
      <w:pPr>
        <w:spacing w:before="120"/>
        <w:jc w:val="both"/>
        <w:rPr>
          <w:sz w:val="22"/>
          <w:szCs w:val="22"/>
        </w:rPr>
      </w:pPr>
      <w:r w:rsidRPr="0038650E">
        <w:rPr>
          <w:sz w:val="22"/>
          <w:szCs w:val="22"/>
        </w:rPr>
        <w:t>Details concerning processing of your personal data by the Commission are available on the privacy statement at:</w:t>
      </w:r>
    </w:p>
    <w:p w:rsidR="00EB1484" w:rsidRPr="0038650E" w:rsidRDefault="00885340" w:rsidP="00EB1484">
      <w:pPr>
        <w:ind w:left="720"/>
        <w:rPr>
          <w:color w:val="1F497D"/>
          <w:sz w:val="22"/>
          <w:szCs w:val="22"/>
        </w:rPr>
      </w:pPr>
      <w:hyperlink r:id="rId12" w:history="1">
        <w:r w:rsidR="00EB1484" w:rsidRPr="0038650E">
          <w:rPr>
            <w:rStyle w:val="Hyperlink"/>
            <w:sz w:val="22"/>
            <w:szCs w:val="22"/>
          </w:rPr>
          <w:t>http://ec.europa.eu/europeaid/prag/annexes.do?chapterTitleCode=A</w:t>
        </w:r>
      </w:hyperlink>
      <w:r w:rsidR="00EB1484" w:rsidRPr="0038650E">
        <w:rPr>
          <w:color w:val="1F497D"/>
          <w:sz w:val="22"/>
          <w:szCs w:val="22"/>
        </w:rPr>
        <w:t xml:space="preserve">  </w:t>
      </w:r>
    </w:p>
    <w:p w:rsidR="00EB1484" w:rsidRPr="0038650E" w:rsidRDefault="00EB1484" w:rsidP="00EB1484">
      <w:pPr>
        <w:ind w:left="720"/>
        <w:rPr>
          <w:sz w:val="22"/>
          <w:szCs w:val="22"/>
        </w:rPr>
      </w:pPr>
    </w:p>
    <w:p w:rsidR="00EB1484" w:rsidRPr="00FF1FE0" w:rsidRDefault="00EB1484" w:rsidP="00EB1484">
      <w:pPr>
        <w:jc w:val="both"/>
        <w:rPr>
          <w:sz w:val="22"/>
          <w:szCs w:val="22"/>
        </w:rPr>
      </w:pPr>
      <w:r w:rsidRPr="0038650E">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3436FE" w:rsidRPr="002B370E" w:rsidRDefault="003436FE" w:rsidP="00FF1FE0">
      <w:pPr>
        <w:pStyle w:val="BodyText"/>
        <w:ind w:left="567"/>
        <w:jc w:val="both"/>
        <w:rPr>
          <w:sz w:val="22"/>
          <w:szCs w:val="22"/>
        </w:rPr>
      </w:pPr>
    </w:p>
    <w:p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3"/>
      <w:footerReference w:type="default" r:id="rId14"/>
      <w:headerReference w:type="first" r:id="rId15"/>
      <w:footerReference w:type="first" r:id="rId16"/>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5340" w:rsidRDefault="00885340">
      <w:r>
        <w:separator/>
      </w:r>
    </w:p>
  </w:endnote>
  <w:endnote w:type="continuationSeparator" w:id="0">
    <w:p w:rsidR="00885340" w:rsidRDefault="00885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rsidR="00C06F58" w:rsidRDefault="00C06F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F58" w:rsidRPr="00A94AD3" w:rsidRDefault="00D17879" w:rsidP="009A733A">
    <w:pPr>
      <w:pStyle w:val="Footer"/>
      <w:tabs>
        <w:tab w:val="clear" w:pos="4320"/>
        <w:tab w:val="clear" w:pos="8640"/>
        <w:tab w:val="right" w:pos="8080"/>
      </w:tabs>
      <w:spacing w:before="120"/>
      <w:rPr>
        <w:rStyle w:val="PageNumber"/>
        <w:sz w:val="18"/>
        <w:szCs w:val="18"/>
      </w:rPr>
    </w:pPr>
    <w:r w:rsidRPr="00D17879">
      <w:rPr>
        <w:b/>
      </w:rPr>
      <w:t>August 2020</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241985">
      <w:rPr>
        <w:rStyle w:val="PageNumber"/>
        <w:noProof/>
        <w:sz w:val="18"/>
        <w:szCs w:val="18"/>
      </w:rPr>
      <w:t>10</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241985">
      <w:rPr>
        <w:rStyle w:val="PageNumber"/>
        <w:noProof/>
        <w:sz w:val="18"/>
        <w:szCs w:val="18"/>
      </w:rPr>
      <w:t>10</w:t>
    </w:r>
    <w:r w:rsidR="00C06F58" w:rsidRPr="00A94AD3">
      <w:rPr>
        <w:rStyle w:val="PageNumber"/>
        <w:sz w:val="18"/>
        <w:szCs w:val="18"/>
      </w:rPr>
      <w:fldChar w:fldCharType="end"/>
    </w:r>
  </w:p>
  <w:p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F58" w:rsidRPr="002B370E" w:rsidRDefault="00D17879" w:rsidP="009A733A">
    <w:pPr>
      <w:pStyle w:val="Footer"/>
      <w:tabs>
        <w:tab w:val="clear" w:pos="4320"/>
        <w:tab w:val="clear" w:pos="8640"/>
        <w:tab w:val="right" w:pos="8080"/>
      </w:tabs>
      <w:spacing w:before="120"/>
      <w:rPr>
        <w:rStyle w:val="PageNumber"/>
        <w:sz w:val="18"/>
        <w:szCs w:val="18"/>
      </w:rPr>
    </w:pPr>
    <w:r w:rsidRPr="00D17879">
      <w:rPr>
        <w:b/>
      </w:rPr>
      <w:t>August 2020</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241985">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241985">
      <w:rPr>
        <w:rStyle w:val="PageNumber"/>
        <w:noProof/>
        <w:sz w:val="18"/>
        <w:szCs w:val="18"/>
      </w:rPr>
      <w:t>10</w:t>
    </w:r>
    <w:r w:rsidR="00C06F58" w:rsidRPr="002B370E">
      <w:rPr>
        <w:rStyle w:val="PageNumber"/>
        <w:sz w:val="18"/>
        <w:szCs w:val="18"/>
      </w:rPr>
      <w:fldChar w:fldCharType="end"/>
    </w:r>
    <w:bookmarkStart w:id="5" w:name="_Hlt26943623"/>
    <w:bookmarkEnd w:id="5"/>
  </w:p>
  <w:p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5340" w:rsidRDefault="00885340">
      <w:r>
        <w:separator/>
      </w:r>
    </w:p>
  </w:footnote>
  <w:footnote w:type="continuationSeparator" w:id="0">
    <w:p w:rsidR="00885340" w:rsidRDefault="00885340">
      <w:r>
        <w:continuationSeparator/>
      </w:r>
    </w:p>
  </w:footnote>
  <w:footnote w:id="1">
    <w:p w:rsidR="000D135C" w:rsidRPr="000D135C" w:rsidRDefault="000D135C">
      <w:pPr>
        <w:pStyle w:val="FootnoteText"/>
      </w:pPr>
      <w:r>
        <w:rPr>
          <w:rStyle w:val="FootnoteReference"/>
        </w:rPr>
        <w:footnoteRef/>
      </w:r>
      <w:r>
        <w:t xml:space="preserve"> See PRAG 2.6.10.1.3 A)</w:t>
      </w:r>
    </w:p>
  </w:footnote>
  <w:footnote w:id="2">
    <w:p w:rsidR="000570D7" w:rsidRPr="00C71FC9" w:rsidRDefault="000570D7" w:rsidP="000570D7">
      <w:pPr>
        <w:pStyle w:val="FootnoteText"/>
      </w:pPr>
      <w:r>
        <w:rPr>
          <w:rStyle w:val="FootnoteReference"/>
        </w:rPr>
        <w:footnoteRef/>
      </w:r>
      <w:r>
        <w:t xml:space="preserve"> </w:t>
      </w:r>
      <w:r w:rsidRPr="00B50F3D">
        <w:t>It is recommended to use registered mail in case the postmark would not be readable.</w:t>
      </w:r>
    </w:p>
    <w:p w:rsidR="000570D7" w:rsidRPr="000570D7" w:rsidRDefault="000570D7">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nsid w:val="0D8C5ACD"/>
    <w:multiLevelType w:val="singleLevel"/>
    <w:tmpl w:val="EF5E9ED0"/>
    <w:lvl w:ilvl="0">
      <w:start w:val="4"/>
      <w:numFmt w:val="decimal"/>
      <w:lvlText w:val="%1."/>
      <w:lvlJc w:val="left"/>
      <w:pPr>
        <w:tabs>
          <w:tab w:val="num" w:pos="360"/>
        </w:tabs>
        <w:ind w:left="360" w:hanging="360"/>
      </w:pPr>
    </w:lvl>
  </w:abstractNum>
  <w:abstractNum w:abstractNumId="4">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nsid w:val="15B03B67"/>
    <w:multiLevelType w:val="singleLevel"/>
    <w:tmpl w:val="04090017"/>
    <w:lvl w:ilvl="0">
      <w:start w:val="1"/>
      <w:numFmt w:val="lowerLetter"/>
      <w:lvlText w:val="%1)"/>
      <w:lvlJc w:val="left"/>
      <w:pPr>
        <w:tabs>
          <w:tab w:val="num" w:pos="360"/>
        </w:tabs>
        <w:ind w:left="360" w:hanging="360"/>
      </w:pPr>
    </w:lvl>
  </w:abstractNum>
  <w:abstractNum w:abstractNumId="7">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77944E6"/>
    <w:multiLevelType w:val="singleLevel"/>
    <w:tmpl w:val="0809000F"/>
    <w:lvl w:ilvl="0">
      <w:start w:val="1"/>
      <w:numFmt w:val="decimal"/>
      <w:lvlText w:val="%1."/>
      <w:lvlJc w:val="left"/>
      <w:pPr>
        <w:tabs>
          <w:tab w:val="num" w:pos="360"/>
        </w:tabs>
        <w:ind w:left="360" w:hanging="360"/>
      </w:pPr>
    </w:lvl>
  </w:abstractNum>
  <w:abstractNum w:abstractNumId="9">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nsid w:val="1D28496A"/>
    <w:multiLevelType w:val="singleLevel"/>
    <w:tmpl w:val="0809000F"/>
    <w:lvl w:ilvl="0">
      <w:start w:val="1"/>
      <w:numFmt w:val="decimal"/>
      <w:lvlText w:val="%1."/>
      <w:lvlJc w:val="left"/>
      <w:pPr>
        <w:tabs>
          <w:tab w:val="num" w:pos="360"/>
        </w:tabs>
        <w:ind w:left="360" w:hanging="360"/>
      </w:pPr>
    </w:lvl>
  </w:abstractNum>
  <w:abstractNum w:abstractNumId="11">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6">
    <w:nsid w:val="2C1143DB"/>
    <w:multiLevelType w:val="singleLevel"/>
    <w:tmpl w:val="A88E0254"/>
    <w:lvl w:ilvl="0">
      <w:start w:val="1"/>
      <w:numFmt w:val="lowerLetter"/>
      <w:lvlText w:val="%1)"/>
      <w:lvlJc w:val="left"/>
      <w:pPr>
        <w:tabs>
          <w:tab w:val="num" w:pos="360"/>
        </w:tabs>
        <w:ind w:left="360" w:hanging="360"/>
      </w:pPr>
    </w:lvl>
  </w:abstractNum>
  <w:abstractNum w:abstractNumId="17">
    <w:nsid w:val="308F1E72"/>
    <w:multiLevelType w:val="singleLevel"/>
    <w:tmpl w:val="04090017"/>
    <w:lvl w:ilvl="0">
      <w:start w:val="1"/>
      <w:numFmt w:val="lowerLetter"/>
      <w:lvlText w:val="%1)"/>
      <w:lvlJc w:val="left"/>
      <w:pPr>
        <w:tabs>
          <w:tab w:val="num" w:pos="360"/>
        </w:tabs>
        <w:ind w:left="360" w:hanging="360"/>
      </w:pPr>
    </w:lvl>
  </w:abstractNum>
  <w:abstractNum w:abstractNumId="18">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19">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1">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4">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6">
    <w:nsid w:val="476F2497"/>
    <w:multiLevelType w:val="singleLevel"/>
    <w:tmpl w:val="C0E47794"/>
    <w:lvl w:ilvl="0">
      <w:start w:val="9"/>
      <w:numFmt w:val="lowerLetter"/>
      <w:lvlText w:val="%1)"/>
      <w:lvlJc w:val="left"/>
      <w:pPr>
        <w:tabs>
          <w:tab w:val="num" w:pos="360"/>
        </w:tabs>
        <w:ind w:left="360" w:hanging="360"/>
      </w:pPr>
    </w:lvl>
  </w:abstractNum>
  <w:abstractNum w:abstractNumId="27">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8">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9">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2">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5">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6">
    <w:nsid w:val="6CC52008"/>
    <w:multiLevelType w:val="singleLevel"/>
    <w:tmpl w:val="0809000F"/>
    <w:lvl w:ilvl="0">
      <w:start w:val="1"/>
      <w:numFmt w:val="decimal"/>
      <w:lvlText w:val="%1."/>
      <w:lvlJc w:val="left"/>
      <w:pPr>
        <w:tabs>
          <w:tab w:val="num" w:pos="360"/>
        </w:tabs>
        <w:ind w:left="360" w:hanging="360"/>
      </w:pPr>
    </w:lvl>
  </w:abstractNum>
  <w:abstractNum w:abstractNumId="37">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8">
    <w:nsid w:val="72934CD2"/>
    <w:multiLevelType w:val="singleLevel"/>
    <w:tmpl w:val="0409000F"/>
    <w:lvl w:ilvl="0">
      <w:start w:val="1"/>
      <w:numFmt w:val="decimal"/>
      <w:lvlText w:val="%1."/>
      <w:lvlJc w:val="left"/>
      <w:pPr>
        <w:tabs>
          <w:tab w:val="num" w:pos="360"/>
        </w:tabs>
        <w:ind w:left="360" w:hanging="360"/>
      </w:pPr>
    </w:lvl>
  </w:abstractNum>
  <w:abstractNum w:abstractNumId="39">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nsid w:val="79F15DEF"/>
    <w:multiLevelType w:val="singleLevel"/>
    <w:tmpl w:val="D034F912"/>
    <w:lvl w:ilvl="0">
      <w:start w:val="1"/>
      <w:numFmt w:val="decimal"/>
      <w:lvlText w:val="%1)"/>
      <w:legacy w:legacy="1" w:legacySpace="0" w:legacyIndent="360"/>
      <w:lvlJc w:val="left"/>
      <w:pPr>
        <w:ind w:left="3195" w:hanging="360"/>
      </w:pPr>
    </w:lvl>
  </w:abstractNum>
  <w:abstractNum w:abstractNumId="43">
    <w:nsid w:val="7B2B63CA"/>
    <w:multiLevelType w:val="hybridMultilevel"/>
    <w:tmpl w:val="1D3E28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5">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6">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8"/>
  </w:num>
  <w:num w:numId="3">
    <w:abstractNumId w:val="5"/>
  </w:num>
  <w:num w:numId="4">
    <w:abstractNumId w:val="6"/>
  </w:num>
  <w:num w:numId="5">
    <w:abstractNumId w:val="36"/>
  </w:num>
  <w:num w:numId="6">
    <w:abstractNumId w:val="10"/>
  </w:num>
  <w:num w:numId="7">
    <w:abstractNumId w:val="12"/>
  </w:num>
  <w:num w:numId="8">
    <w:abstractNumId w:val="9"/>
  </w:num>
  <w:num w:numId="9">
    <w:abstractNumId w:val="2"/>
  </w:num>
  <w:num w:numId="10">
    <w:abstractNumId w:val="25"/>
  </w:num>
  <w:num w:numId="11">
    <w:abstractNumId w:val="44"/>
  </w:num>
  <w:num w:numId="12">
    <w:abstractNumId w:val="15"/>
  </w:num>
  <w:num w:numId="13">
    <w:abstractNumId w:val="1"/>
  </w:num>
  <w:num w:numId="14">
    <w:abstractNumId w:val="11"/>
  </w:num>
  <w:num w:numId="15">
    <w:abstractNumId w:val="31"/>
  </w:num>
  <w:num w:numId="16">
    <w:abstractNumId w:val="4"/>
  </w:num>
  <w:num w:numId="17">
    <w:abstractNumId w:val="22"/>
  </w:num>
  <w:num w:numId="18">
    <w:abstractNumId w:val="2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8"/>
  </w:num>
  <w:num w:numId="21">
    <w:abstractNumId w:val="26"/>
  </w:num>
  <w:num w:numId="22">
    <w:abstractNumId w:val="3"/>
  </w:num>
  <w:num w:numId="23">
    <w:abstractNumId w:val="38"/>
  </w:num>
  <w:num w:numId="24">
    <w:abstractNumId w:val="34"/>
  </w:num>
  <w:num w:numId="25">
    <w:abstractNumId w:val="14"/>
  </w:num>
  <w:num w:numId="26">
    <w:abstractNumId w:val="35"/>
  </w:num>
  <w:num w:numId="27">
    <w:abstractNumId w:val="16"/>
  </w:num>
  <w:num w:numId="28">
    <w:abstractNumId w:val="27"/>
  </w:num>
  <w:num w:numId="29">
    <w:abstractNumId w:val="17"/>
  </w:num>
  <w:num w:numId="30">
    <w:abstractNumId w:val="39"/>
  </w:num>
  <w:num w:numId="31">
    <w:abstractNumId w:val="18"/>
  </w:num>
  <w:num w:numId="32">
    <w:abstractNumId w:val="45"/>
  </w:num>
  <w:num w:numId="33">
    <w:abstractNumId w:val="32"/>
  </w:num>
  <w:num w:numId="34">
    <w:abstractNumId w:val="21"/>
  </w:num>
  <w:num w:numId="35">
    <w:abstractNumId w:val="20"/>
  </w:num>
  <w:num w:numId="36">
    <w:abstractNumId w:val="29"/>
  </w:num>
  <w:num w:numId="37">
    <w:abstractNumId w:val="33"/>
  </w:num>
  <w:num w:numId="38">
    <w:abstractNumId w:val="42"/>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0"/>
  </w:num>
  <w:num w:numId="41">
    <w:abstractNumId w:val="13"/>
  </w:num>
  <w:num w:numId="42">
    <w:abstractNumId w:val="24"/>
  </w:num>
  <w:num w:numId="43">
    <w:abstractNumId w:val="7"/>
  </w:num>
  <w:num w:numId="44">
    <w:abstractNumId w:val="41"/>
  </w:num>
  <w:num w:numId="45">
    <w:abstractNumId w:val="19"/>
  </w:num>
  <w:num w:numId="46">
    <w:abstractNumId w:val="46"/>
  </w:num>
  <w:num w:numId="47">
    <w:abstractNumId w:val="40"/>
  </w:num>
  <w:num w:numId="48">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D550F2"/>
    <w:rsid w:val="00010683"/>
    <w:rsid w:val="0004095E"/>
    <w:rsid w:val="00047F95"/>
    <w:rsid w:val="000544E6"/>
    <w:rsid w:val="000570D7"/>
    <w:rsid w:val="00057A21"/>
    <w:rsid w:val="000607F7"/>
    <w:rsid w:val="000626CB"/>
    <w:rsid w:val="00076EEC"/>
    <w:rsid w:val="0009029D"/>
    <w:rsid w:val="000913E8"/>
    <w:rsid w:val="000955FE"/>
    <w:rsid w:val="000A7073"/>
    <w:rsid w:val="000C5425"/>
    <w:rsid w:val="000D135C"/>
    <w:rsid w:val="000D183D"/>
    <w:rsid w:val="000F0B96"/>
    <w:rsid w:val="000F35B9"/>
    <w:rsid w:val="00121005"/>
    <w:rsid w:val="00137809"/>
    <w:rsid w:val="0014136C"/>
    <w:rsid w:val="001449AE"/>
    <w:rsid w:val="00157CF6"/>
    <w:rsid w:val="001671BA"/>
    <w:rsid w:val="0017009E"/>
    <w:rsid w:val="00180127"/>
    <w:rsid w:val="001A3A06"/>
    <w:rsid w:val="001A7BA0"/>
    <w:rsid w:val="001B1598"/>
    <w:rsid w:val="001B2CA6"/>
    <w:rsid w:val="001C0F8D"/>
    <w:rsid w:val="001C391F"/>
    <w:rsid w:val="001D579A"/>
    <w:rsid w:val="001E5AB3"/>
    <w:rsid w:val="002157AA"/>
    <w:rsid w:val="00216E18"/>
    <w:rsid w:val="002176BB"/>
    <w:rsid w:val="0021784A"/>
    <w:rsid w:val="0022643A"/>
    <w:rsid w:val="0023505C"/>
    <w:rsid w:val="00241985"/>
    <w:rsid w:val="00245C38"/>
    <w:rsid w:val="00250B09"/>
    <w:rsid w:val="00264E26"/>
    <w:rsid w:val="00273362"/>
    <w:rsid w:val="00290ACC"/>
    <w:rsid w:val="002921F7"/>
    <w:rsid w:val="00294800"/>
    <w:rsid w:val="002A1587"/>
    <w:rsid w:val="002B0E84"/>
    <w:rsid w:val="002B75E8"/>
    <w:rsid w:val="002C2852"/>
    <w:rsid w:val="002F1241"/>
    <w:rsid w:val="002F6273"/>
    <w:rsid w:val="0030208E"/>
    <w:rsid w:val="00310A98"/>
    <w:rsid w:val="003121C6"/>
    <w:rsid w:val="003436FE"/>
    <w:rsid w:val="0037753A"/>
    <w:rsid w:val="00381AB8"/>
    <w:rsid w:val="0038650E"/>
    <w:rsid w:val="003924DF"/>
    <w:rsid w:val="003925C5"/>
    <w:rsid w:val="00396D4A"/>
    <w:rsid w:val="00397B28"/>
    <w:rsid w:val="003C5C2B"/>
    <w:rsid w:val="003C773B"/>
    <w:rsid w:val="003E309F"/>
    <w:rsid w:val="003E6551"/>
    <w:rsid w:val="003F2D75"/>
    <w:rsid w:val="003F4AB5"/>
    <w:rsid w:val="003F7035"/>
    <w:rsid w:val="00412107"/>
    <w:rsid w:val="00417586"/>
    <w:rsid w:val="004530E4"/>
    <w:rsid w:val="00453651"/>
    <w:rsid w:val="004551A2"/>
    <w:rsid w:val="00463A51"/>
    <w:rsid w:val="0048664A"/>
    <w:rsid w:val="00491B4A"/>
    <w:rsid w:val="00493F98"/>
    <w:rsid w:val="00495144"/>
    <w:rsid w:val="00496641"/>
    <w:rsid w:val="00497FEF"/>
    <w:rsid w:val="004A544F"/>
    <w:rsid w:val="004D0FE4"/>
    <w:rsid w:val="004D2399"/>
    <w:rsid w:val="004D36B8"/>
    <w:rsid w:val="004D7FC9"/>
    <w:rsid w:val="004E248D"/>
    <w:rsid w:val="004F088B"/>
    <w:rsid w:val="0050626C"/>
    <w:rsid w:val="005147FC"/>
    <w:rsid w:val="00517439"/>
    <w:rsid w:val="00520C9F"/>
    <w:rsid w:val="00526546"/>
    <w:rsid w:val="00543D27"/>
    <w:rsid w:val="00545A56"/>
    <w:rsid w:val="005510F3"/>
    <w:rsid w:val="0056210A"/>
    <w:rsid w:val="0056414B"/>
    <w:rsid w:val="00574DD1"/>
    <w:rsid w:val="00577681"/>
    <w:rsid w:val="00582292"/>
    <w:rsid w:val="0059570B"/>
    <w:rsid w:val="005B2947"/>
    <w:rsid w:val="005C1E9E"/>
    <w:rsid w:val="005C44AA"/>
    <w:rsid w:val="005D1583"/>
    <w:rsid w:val="005D2BA9"/>
    <w:rsid w:val="005D3D9E"/>
    <w:rsid w:val="005D6CCF"/>
    <w:rsid w:val="005E5F2A"/>
    <w:rsid w:val="005F1DD5"/>
    <w:rsid w:val="0062173A"/>
    <w:rsid w:val="0062677E"/>
    <w:rsid w:val="00632671"/>
    <w:rsid w:val="006365A9"/>
    <w:rsid w:val="006773D0"/>
    <w:rsid w:val="0068123D"/>
    <w:rsid w:val="00681768"/>
    <w:rsid w:val="00681895"/>
    <w:rsid w:val="00682D24"/>
    <w:rsid w:val="00687AA2"/>
    <w:rsid w:val="00694874"/>
    <w:rsid w:val="006A1537"/>
    <w:rsid w:val="006B0775"/>
    <w:rsid w:val="006C4BA3"/>
    <w:rsid w:val="006F25A2"/>
    <w:rsid w:val="006F5D6C"/>
    <w:rsid w:val="006F6361"/>
    <w:rsid w:val="007078C5"/>
    <w:rsid w:val="0073127C"/>
    <w:rsid w:val="00740B27"/>
    <w:rsid w:val="007639DA"/>
    <w:rsid w:val="00763C86"/>
    <w:rsid w:val="00775D25"/>
    <w:rsid w:val="00790B67"/>
    <w:rsid w:val="007A0123"/>
    <w:rsid w:val="007B1D4B"/>
    <w:rsid w:val="007B7D7B"/>
    <w:rsid w:val="007D5B21"/>
    <w:rsid w:val="007E285C"/>
    <w:rsid w:val="007F760C"/>
    <w:rsid w:val="00804556"/>
    <w:rsid w:val="00805702"/>
    <w:rsid w:val="008100D6"/>
    <w:rsid w:val="00835BD1"/>
    <w:rsid w:val="00843423"/>
    <w:rsid w:val="008531BA"/>
    <w:rsid w:val="00854CFF"/>
    <w:rsid w:val="00855F72"/>
    <w:rsid w:val="0086089C"/>
    <w:rsid w:val="0086581B"/>
    <w:rsid w:val="00870B5F"/>
    <w:rsid w:val="0087320A"/>
    <w:rsid w:val="00885340"/>
    <w:rsid w:val="0089466D"/>
    <w:rsid w:val="00895B9A"/>
    <w:rsid w:val="008A2426"/>
    <w:rsid w:val="008E5D9D"/>
    <w:rsid w:val="009021F5"/>
    <w:rsid w:val="009063CE"/>
    <w:rsid w:val="00917284"/>
    <w:rsid w:val="00921CBA"/>
    <w:rsid w:val="00937074"/>
    <w:rsid w:val="009426BD"/>
    <w:rsid w:val="009436A4"/>
    <w:rsid w:val="00957CA3"/>
    <w:rsid w:val="00987220"/>
    <w:rsid w:val="00987C6C"/>
    <w:rsid w:val="00996707"/>
    <w:rsid w:val="009A733A"/>
    <w:rsid w:val="009B1C05"/>
    <w:rsid w:val="009B3FFF"/>
    <w:rsid w:val="009B605A"/>
    <w:rsid w:val="009C7BD6"/>
    <w:rsid w:val="009D164C"/>
    <w:rsid w:val="009D5E0F"/>
    <w:rsid w:val="009F5616"/>
    <w:rsid w:val="00A00C4C"/>
    <w:rsid w:val="00A02F0C"/>
    <w:rsid w:val="00A06BCE"/>
    <w:rsid w:val="00A165D1"/>
    <w:rsid w:val="00A33091"/>
    <w:rsid w:val="00A40B36"/>
    <w:rsid w:val="00A42171"/>
    <w:rsid w:val="00A6538D"/>
    <w:rsid w:val="00A72FB1"/>
    <w:rsid w:val="00A81096"/>
    <w:rsid w:val="00A82C40"/>
    <w:rsid w:val="00A90345"/>
    <w:rsid w:val="00A91BDC"/>
    <w:rsid w:val="00A94AD3"/>
    <w:rsid w:val="00A94F07"/>
    <w:rsid w:val="00AA3043"/>
    <w:rsid w:val="00AB28DE"/>
    <w:rsid w:val="00AB326E"/>
    <w:rsid w:val="00AB5C71"/>
    <w:rsid w:val="00AB7549"/>
    <w:rsid w:val="00AC5E60"/>
    <w:rsid w:val="00AD6A02"/>
    <w:rsid w:val="00AF6806"/>
    <w:rsid w:val="00B21495"/>
    <w:rsid w:val="00B215EE"/>
    <w:rsid w:val="00B2430B"/>
    <w:rsid w:val="00B327C3"/>
    <w:rsid w:val="00B36721"/>
    <w:rsid w:val="00B45C9F"/>
    <w:rsid w:val="00B5592A"/>
    <w:rsid w:val="00B806A1"/>
    <w:rsid w:val="00B860B0"/>
    <w:rsid w:val="00B9416D"/>
    <w:rsid w:val="00BB6C9D"/>
    <w:rsid w:val="00BC1214"/>
    <w:rsid w:val="00BC1D32"/>
    <w:rsid w:val="00BC3DB7"/>
    <w:rsid w:val="00BC7014"/>
    <w:rsid w:val="00BD5B00"/>
    <w:rsid w:val="00BE4367"/>
    <w:rsid w:val="00BE4939"/>
    <w:rsid w:val="00BE7CAF"/>
    <w:rsid w:val="00BF01CC"/>
    <w:rsid w:val="00BF0BD3"/>
    <w:rsid w:val="00C06F58"/>
    <w:rsid w:val="00C2286C"/>
    <w:rsid w:val="00C2541E"/>
    <w:rsid w:val="00C3216F"/>
    <w:rsid w:val="00C330E1"/>
    <w:rsid w:val="00C33368"/>
    <w:rsid w:val="00C372F3"/>
    <w:rsid w:val="00C40CD0"/>
    <w:rsid w:val="00C52EDE"/>
    <w:rsid w:val="00C53A7B"/>
    <w:rsid w:val="00C55903"/>
    <w:rsid w:val="00C91765"/>
    <w:rsid w:val="00C96392"/>
    <w:rsid w:val="00CC396F"/>
    <w:rsid w:val="00CE5895"/>
    <w:rsid w:val="00CF2B5B"/>
    <w:rsid w:val="00D17879"/>
    <w:rsid w:val="00D26233"/>
    <w:rsid w:val="00D271AE"/>
    <w:rsid w:val="00D32C37"/>
    <w:rsid w:val="00D35BAE"/>
    <w:rsid w:val="00D4050F"/>
    <w:rsid w:val="00D44374"/>
    <w:rsid w:val="00D475F9"/>
    <w:rsid w:val="00D550F2"/>
    <w:rsid w:val="00D60D73"/>
    <w:rsid w:val="00D63250"/>
    <w:rsid w:val="00D66CD2"/>
    <w:rsid w:val="00D86F6D"/>
    <w:rsid w:val="00DA7EF8"/>
    <w:rsid w:val="00DB3975"/>
    <w:rsid w:val="00DB4711"/>
    <w:rsid w:val="00DE1210"/>
    <w:rsid w:val="00DE5160"/>
    <w:rsid w:val="00E03510"/>
    <w:rsid w:val="00E13546"/>
    <w:rsid w:val="00E1767B"/>
    <w:rsid w:val="00E222AD"/>
    <w:rsid w:val="00E2244D"/>
    <w:rsid w:val="00E22E88"/>
    <w:rsid w:val="00E33957"/>
    <w:rsid w:val="00E46553"/>
    <w:rsid w:val="00E60110"/>
    <w:rsid w:val="00E8191A"/>
    <w:rsid w:val="00E84A51"/>
    <w:rsid w:val="00EA3293"/>
    <w:rsid w:val="00EA439A"/>
    <w:rsid w:val="00EA6B94"/>
    <w:rsid w:val="00EA7FAC"/>
    <w:rsid w:val="00EB1484"/>
    <w:rsid w:val="00EC2853"/>
    <w:rsid w:val="00EC59C8"/>
    <w:rsid w:val="00ED0499"/>
    <w:rsid w:val="00EE5A83"/>
    <w:rsid w:val="00EF67ED"/>
    <w:rsid w:val="00F00530"/>
    <w:rsid w:val="00F11E9B"/>
    <w:rsid w:val="00F16667"/>
    <w:rsid w:val="00F21243"/>
    <w:rsid w:val="00F25A3C"/>
    <w:rsid w:val="00F53979"/>
    <w:rsid w:val="00F54298"/>
    <w:rsid w:val="00F7552A"/>
    <w:rsid w:val="00F80338"/>
    <w:rsid w:val="00F848DA"/>
    <w:rsid w:val="00FA0FB0"/>
    <w:rsid w:val="00FB620D"/>
    <w:rsid w:val="00FD15B8"/>
    <w:rsid w:val="00FD542C"/>
    <w:rsid w:val="00FF1D05"/>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D27"/>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543D2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EB14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annexes.do?chapterTitleCode=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c.europa.eu/europeaid/prag/document.do" TargetMode="External"/><Relationship Id="rId4" Type="http://schemas.openxmlformats.org/officeDocument/2006/relationships/settings" Target="settings.xml"/><Relationship Id="rId9" Type="http://schemas.openxmlformats.org/officeDocument/2006/relationships/hyperlink" Target="http://ec.europa.eu/europeaid/work/procedures/documents/execution/services/b8annexvbudgetfee_en.xl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94C04-85C7-47AC-94A6-F4CEF89D2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Pages>
  <Words>4061</Words>
  <Characters>23153</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27160</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Dell</cp:lastModifiedBy>
  <cp:revision>28</cp:revision>
  <cp:lastPrinted>2012-09-25T14:41:00Z</cp:lastPrinted>
  <dcterms:created xsi:type="dcterms:W3CDTF">2018-12-18T11:34:00Z</dcterms:created>
  <dcterms:modified xsi:type="dcterms:W3CDTF">2021-12-28T12:35:00Z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