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BC24BA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BC24BA" w:rsidRDefault="00BC24BA" w:rsidP="00BC24BA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Հավելված՝</w:t>
            </w:r>
          </w:p>
          <w:p w:rsidR="00BC24BA" w:rsidRDefault="00BC24BA" w:rsidP="00BC24BA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Հայաստանի Հանրապետության Շիրակի մարզի Գյումրի համայնքի  ավագանու 2022 թվականի</w:t>
            </w:r>
          </w:p>
          <w:p w:rsidR="00945157" w:rsidRPr="00A92C99" w:rsidRDefault="00BC24BA" w:rsidP="00BC24BA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28-ի N      -Ա  որոշման</w:t>
            </w:r>
          </w:p>
        </w:tc>
      </w:tr>
    </w:tbl>
    <w:p w:rsidR="00945157" w:rsidRPr="00A92C99" w:rsidRDefault="00945157" w:rsidP="00844275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1C6947" w:rsidRDefault="00452C72" w:rsidP="00BF7B0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  <w:r w:rsidRPr="00452C72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համայնքի թվով 23 մանկապարտեզների գույքի և թվով 14 մարզական ՀՈԱԿ-ներին և բակերի անհրաժեշտ գույքի ձեռքբերում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C6947" w:rsidRPr="00BC24BA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C6947" w:rsidRPr="00BC24BA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947" w:rsidRPr="00111C6A" w:rsidRDefault="001C6947" w:rsidP="001C6947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1C6947" w:rsidRPr="00BC24BA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855230" w:rsidRDefault="001C6947" w:rsidP="001C6947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C6947" w:rsidRPr="00855230" w:rsidRDefault="001C6947" w:rsidP="001C6947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C6947" w:rsidRPr="00855230" w:rsidRDefault="001C6947" w:rsidP="001C6947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C6947" w:rsidRPr="00855230" w:rsidRDefault="001C6947" w:rsidP="001C6947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1C6947" w:rsidRPr="00BC24BA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4CD5" w:rsidRPr="00484EF4" w:rsidRDefault="001A4CD5" w:rsidP="001A4CD5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Ծրագրով նախտեսվում է Գյումրի քաղաքի թվով 23 մանկապարտեզների գույքի </w:t>
            </w:r>
            <w:r w:rsid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և թվով </w:t>
            </w:r>
            <w:r w:rsidR="00FD481F" w:rsidRP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 w:rsidR="00BF7B04" w:rsidRPr="00BF7B0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</w:t>
            </w:r>
            <w:r w:rsidR="00FD481F" w:rsidRP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մարզական ՀՈԱԿ-ներին անհրաժեշտ գույքի </w:t>
            </w: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ձեռքբերում, մասնավորապես՝ մանկական աթոռներ, սեղաններ, զգեստապահարան, պահարաններ, գրապահարաններ, կախովի պատաշարեր</w:t>
            </w:r>
            <w:r w:rsid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մարզագորգեր, գրասեղաններ, աթոռներ, աթլետիկական արգելքներ,, մրցումային սավառակներ, մարզումային նիզակներ, կամրջակներ, խանրաձողեր, ցանցեր, գնդակներ և այլն</w:t>
            </w: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։ Մանկապարտեզները </w:t>
            </w:r>
            <w:r w:rsid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և մարզային ՀՈԱԿ-ները </w:t>
            </w: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տևական ժամանակ չեն թարմացվել գույքով և գույքային պայմանները շատ վատ են։ </w:t>
            </w:r>
          </w:p>
          <w:p w:rsidR="001A4CD5" w:rsidRPr="00484EF4" w:rsidRDefault="001A4CD5" w:rsidP="001A4CD5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2022 թվականին </w:t>
            </w:r>
            <w:r w:rsidR="00822FA5"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տնտեսական և սոցիալական ենթակառուցվածքների զարգացմանն ուղղված սուբվենցիոն ծրագրի շրջանակներում թվով 10 մանկապարտեզ վերանորոգվելու են։ Շինարարական աշխատանքներից հետո անհրաժեշտություն է առաջացել կահավորել և այդ մանկապարտեզները ևս տասերեք մանկապարտեզներ կահավորել անհրաժեշտ գույքով։ </w:t>
            </w:r>
          </w:p>
          <w:p w:rsidR="001C6947" w:rsidRPr="00484EF4" w:rsidRDefault="00FD481F" w:rsidP="00822FA5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Մանկապարտեզների և մարզային ՀՈԱԿ-ների</w:t>
            </w:r>
            <w:r w:rsidR="00822FA5"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գույքի ձեռքբերումից հետո  հնարավոր կլինի շահագործման հանձնել նոր կահավորված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և անհրաժեշտ գույքով մանկապարտեզները և մարզային ՀՈԱԿ-ները</w:t>
            </w:r>
            <w:r w:rsidR="00822FA5"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հնարավորություն ընձեռելով մանկապարտեզի նախադպրոցական տարիքի սաներին մանկապարտեզի առօրյան լիարժեք՝ սնվելու, ցերեկային քնի, խաղերի, դասերի միջոցով կազմակերպելու հնարավորությամբ,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ինչպես նաև մարզային ՀՈԱԿ-ների սաներին մարզվելու հնարավորություն ընփեռնելու և առօրյան լիարժեք դարձնելու համար՝</w:t>
            </w:r>
            <w:r w:rsidR="00822FA5" w:rsidRPr="00484EF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բարձրացնելով համայնքում վստահության մակարդակը՝ բնակիչներին ներգրավել համայնքի զարգացմանն ու նպաստել բնակավայրում  կենսամակարդակի բարձրացմանը:</w:t>
            </w:r>
          </w:p>
        </w:tc>
      </w:tr>
      <w:tr w:rsidR="001C6947" w:rsidRPr="001C694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0E3C69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3C31" w:rsidRPr="00183C31" w:rsidRDefault="00183C31" w:rsidP="00183C31">
            <w:p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Ծրագի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րը համահունչ է համայնքի հնգամյա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զ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արգացման ծրագրին,   հանդիսանում է համայնքի զարգացման անմիջական նպատակներից մեկը, որին  հասնելուն էլ ուղղված է ծրագրով նախատեսված  գույքի ձեռքբերումը, ինչի արդյունքում կհասնենք ծրագրի 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br/>
              <w:t xml:space="preserve"> իրականացման նպատակին՝ այն է.</w:t>
            </w:r>
          </w:p>
          <w:p w:rsidR="00183C31" w:rsidRDefault="00183C31" w:rsidP="00B51F4F">
            <w:pPr>
              <w:pStyle w:val="a6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համայնքում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գործող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թվով 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23 մանկապարտեզ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կահավորված և անհրաժեշտ գույք</w:t>
            </w:r>
            <w:r w:rsid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առկայությամբ</w:t>
            </w:r>
          </w:p>
          <w:p w:rsidR="00FD481F" w:rsidRDefault="00FD481F" w:rsidP="00FD481F">
            <w:pPr>
              <w:pStyle w:val="a6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համայնքում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գործող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թվով </w:t>
            </w:r>
            <w:r w:rsidRP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 w:rsidR="00BF7B04" w:rsidRPr="00BF7B0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</w:t>
            </w:r>
            <w:r w:rsidRPr="00FD481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մարզային ՀՈԱԿ-ների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կահավորված և անհրաժեշտ գույքի 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առկայությամբ</w:t>
            </w:r>
          </w:p>
          <w:p w:rsidR="00B51F4F" w:rsidRPr="00B51F4F" w:rsidRDefault="00B51F4F" w:rsidP="00B51F4F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Առնվազն </w:t>
            </w:r>
            <w:r w:rsidR="00BB1FA6">
              <w:rPr>
                <w:rFonts w:ascii="GHEA Grapalat" w:eastAsia="Times New Roman" w:hAnsi="GHEA Grapalat"/>
                <w:i/>
                <w:sz w:val="21"/>
                <w:szCs w:val="21"/>
                <w:lang w:val="ru-RU"/>
              </w:rPr>
              <w:t>5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ru-RU"/>
              </w:rPr>
              <w:t>00</w:t>
            </w: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 երեխա կօգտվի ծրագրից։</w:t>
            </w:r>
          </w:p>
          <w:p w:rsidR="00183C31" w:rsidRDefault="00183C31" w:rsidP="00B51F4F">
            <w:pPr>
              <w:pStyle w:val="a6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Մանկապարտեզ հաճախող նախադպրոցական տարիքի երեխաներին մանկապարտեզի առօրյան լիարժեք կազմակերպելու հնարավորություն</w:t>
            </w:r>
          </w:p>
          <w:p w:rsidR="001C6947" w:rsidRDefault="00183C31" w:rsidP="00B51F4F">
            <w:pPr>
              <w:pStyle w:val="a6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Համայնքում</w:t>
            </w:r>
            <w:r w:rsidRPr="00183C3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կենսամակարդակի բարձրացման խթանում</w:t>
            </w:r>
          </w:p>
          <w:p w:rsidR="00B51F4F" w:rsidRPr="00B51F4F" w:rsidRDefault="00B51F4F" w:rsidP="00B51F4F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Կավելանա մանկապարտեզների հաճախելիությունը</w:t>
            </w:r>
          </w:p>
          <w:p w:rsidR="00B51F4F" w:rsidRPr="00B51F4F" w:rsidRDefault="00B51F4F" w:rsidP="00B51F4F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Մանկապարտեզների աշխատակազմի պատշաճ աշխատանքային պայմանների ապահովվում։</w:t>
            </w:r>
          </w:p>
          <w:p w:rsidR="00B51F4F" w:rsidRPr="00183C31" w:rsidRDefault="00B51F4F" w:rsidP="00B51F4F">
            <w:pPr>
              <w:pStyle w:val="a6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51F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Ուսումնական գործընթացի արդյունավետ կազմակերպում։</w:t>
            </w:r>
          </w:p>
        </w:tc>
      </w:tr>
      <w:tr w:rsidR="001C6947" w:rsidRPr="00BC24BA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FE637A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Ծրագրի արդյունքներին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487535" w:rsidRDefault="001C6947" w:rsidP="001C6947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lastRenderedPageBreak/>
              <w:t>Կազմել նախագծա-նախահաշվային փաստաթղթեր:</w:t>
            </w:r>
          </w:p>
          <w:p w:rsidR="001C6947" w:rsidRPr="00487535" w:rsidRDefault="001C6947" w:rsidP="001C6947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lastRenderedPageBreak/>
              <w:t>Կազմակերպել օրենքով սահմանված կարգով մրցույթ:</w:t>
            </w:r>
          </w:p>
          <w:p w:rsidR="001C6947" w:rsidRDefault="001C6947" w:rsidP="001C6947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1C6947" w:rsidRPr="00487535" w:rsidRDefault="00F22D0A" w:rsidP="001C6947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Գույքի ձեռքբերում</w:t>
            </w:r>
            <w:r w:rsidR="001C69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, </w:t>
            </w:r>
            <w:r w:rsidR="0067050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մատակարարման կազմակերպում, </w:t>
            </w:r>
            <w:r w:rsidR="001C69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արդյունքների ընդունում և վերահսկողություն</w:t>
            </w:r>
          </w:p>
          <w:p w:rsidR="001C6947" w:rsidRPr="00487535" w:rsidRDefault="001C6947" w:rsidP="001C6947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1C6947" w:rsidRPr="00487535" w:rsidRDefault="001C6947" w:rsidP="001C6947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1C6947" w:rsidRPr="00BC24BA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6748DC" w:rsidRDefault="001C6947" w:rsidP="001D115D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իրականացման արդյունքում </w:t>
            </w:r>
            <w:r w:rsidR="0084381B">
              <w:rPr>
                <w:rFonts w:ascii="GHEA Grapalat" w:hAnsi="GHEA Grapalat"/>
                <w:i/>
                <w:iCs/>
                <w:lang w:val="hy-AM"/>
              </w:rPr>
              <w:t>ձ</w:t>
            </w:r>
            <w:r w:rsidR="0084381B" w:rsidRPr="00945597">
              <w:rPr>
                <w:rFonts w:ascii="GHEA Grapalat" w:hAnsi="GHEA Grapalat"/>
                <w:i/>
                <w:iCs/>
                <w:lang w:val="hy-AM"/>
              </w:rPr>
              <w:t>եռք բերվող գույքը կհանդիսանա որպես համայնքի սեփականություն</w:t>
            </w:r>
            <w:r w:rsidR="0084381B">
              <w:rPr>
                <w:rFonts w:ascii="GHEA Grapalat" w:hAnsi="GHEA Grapalat"/>
                <w:i/>
                <w:iCs/>
                <w:lang w:val="hy-AM"/>
              </w:rPr>
              <w:t xml:space="preserve">։ </w:t>
            </w:r>
            <w:r w:rsidR="0084381B"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84381B" w:rsidRPr="00945597">
              <w:rPr>
                <w:rFonts w:ascii="GHEA Grapalat" w:hAnsi="GHEA Grapalat"/>
                <w:i/>
                <w:iCs/>
                <w:lang w:val="hy-AM"/>
              </w:rPr>
              <w:t xml:space="preserve">Արդյունքում </w:t>
            </w:r>
            <w:r w:rsidR="0084381B" w:rsidRPr="00945597">
              <w:rPr>
                <w:rFonts w:ascii="GHEA Grapalat" w:hAnsi="GHEA Grapalat"/>
                <w:bCs/>
                <w:i/>
                <w:iCs/>
                <w:lang w:val="hy-AM"/>
              </w:rPr>
              <w:t xml:space="preserve">համայնքի հիմնական միջոցների արժեքը կավելանա  </w:t>
            </w:r>
            <w:r w:rsidR="0084381B" w:rsidRPr="0084381B">
              <w:rPr>
                <w:rFonts w:ascii="GHEA Grapalat" w:hAnsi="GHEA Grapalat"/>
                <w:bCs/>
                <w:i/>
                <w:iCs/>
                <w:lang w:val="hy-AM"/>
              </w:rPr>
              <w:t>ծրագրի ընդհանուր գումարի չափով</w:t>
            </w:r>
            <w:r w:rsidR="0084381B" w:rsidRPr="00945597">
              <w:rPr>
                <w:rFonts w:ascii="GHEA Grapalat" w:hAnsi="GHEA Grapalat"/>
                <w:bCs/>
                <w:i/>
                <w:iCs/>
                <w:lang w:val="hy-AM"/>
              </w:rPr>
              <w:t>:</w:t>
            </w:r>
            <w:r w:rsidR="001D115D">
              <w:rPr>
                <w:rFonts w:ascii="GHEA Grapalat" w:hAnsi="GHEA Grapalat"/>
                <w:bCs/>
                <w:i/>
                <w:iCs/>
                <w:lang w:val="hy-AM"/>
              </w:rPr>
              <w:t xml:space="preserve"> </w:t>
            </w:r>
            <w:r w:rsidR="001D115D" w:rsidRPr="00945597">
              <w:rPr>
                <w:rFonts w:ascii="GHEA Grapalat" w:hAnsi="GHEA Grapalat"/>
                <w:bCs/>
                <w:i/>
                <w:iCs/>
                <w:lang w:val="hy-AM"/>
              </w:rPr>
              <w:t>Ծրագրով նախատեսվող ծախսերը կապիտալ բնույթի են և կիրականացվեն համայնքի</w:t>
            </w:r>
            <w:r w:rsidR="001D115D">
              <w:rPr>
                <w:rFonts w:ascii="GHEA Grapalat" w:hAnsi="GHEA Grapalat"/>
                <w:bCs/>
                <w:i/>
                <w:iCs/>
                <w:lang w:val="hy-AM"/>
              </w:rPr>
              <w:t xml:space="preserve"> 202</w:t>
            </w:r>
            <w:r w:rsidR="001D115D" w:rsidRPr="001D115D">
              <w:rPr>
                <w:rFonts w:ascii="GHEA Grapalat" w:hAnsi="GHEA Grapalat"/>
                <w:bCs/>
                <w:i/>
                <w:iCs/>
                <w:lang w:val="hy-AM"/>
              </w:rPr>
              <w:t>3</w:t>
            </w:r>
            <w:r w:rsidR="001D115D" w:rsidRPr="00945597">
              <w:rPr>
                <w:rFonts w:ascii="GHEA Grapalat" w:hAnsi="GHEA Grapalat"/>
                <w:bCs/>
                <w:i/>
                <w:iCs/>
                <w:lang w:val="hy-AM"/>
              </w:rPr>
              <w:t>թ-ի բյուջեի ֆոնդային մասով:</w:t>
            </w:r>
          </w:p>
        </w:tc>
      </w:tr>
      <w:tr w:rsidR="001C6947" w:rsidRPr="00BC24BA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4CBD" w:rsidRPr="00BB1FA6" w:rsidRDefault="009A4CBD" w:rsidP="009A4CBD">
            <w:pPr>
              <w:spacing w:after="0" w:line="240" w:lineRule="auto"/>
              <w:ind w:left="165" w:right="83"/>
              <w:jc w:val="both"/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</w:pPr>
            <w:r w:rsidRPr="00645834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Ծրագրի շահառուներ  են հանդիսանում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Գյումրի համայնքի</w:t>
            </w:r>
            <w:r w:rsidRPr="00645834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թվով </w:t>
            </w:r>
            <w:r w:rsidR="004657D1" w:rsidRPr="004657D1">
              <w:rPr>
                <w:rFonts w:ascii="Sylfaen" w:hAnsi="Sylfaen" w:cs="Cambria Math"/>
                <w:i/>
                <w:spacing w:val="-6"/>
                <w:lang w:val="hy-AM"/>
              </w:rPr>
              <w:t>23</w:t>
            </w:r>
            <w:r>
              <w:rPr>
                <w:rFonts w:ascii="Sylfaen" w:hAnsi="Sylfaen" w:cs="Cambria Math"/>
                <w:i/>
                <w:spacing w:val="-6"/>
                <w:lang w:val="hy-AM"/>
              </w:rPr>
              <w:t xml:space="preserve">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մանկապարտեզի նախադպրոցական տարիքի երեխաներ և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մանկապարտեզի աշխատողներ</w:t>
            </w:r>
            <w:r w:rsid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, ինչպես նաև թվով </w:t>
            </w:r>
            <w:r w:rsidR="00BB1FA6" w:rsidRP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1</w:t>
            </w:r>
            <w:r w:rsidR="00BF7B04" w:rsidRPr="00BF7B04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4</w:t>
            </w:r>
            <w:r w:rsidR="00BB1FA6" w:rsidRP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</w:t>
            </w:r>
            <w:r w:rsid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մարզական ՀՈԱԿ-ների սաներ և մարզիչներ</w:t>
            </w:r>
          </w:p>
          <w:p w:rsidR="009A4CBD" w:rsidRPr="0047423C" w:rsidRDefault="009A4CBD" w:rsidP="004657D1">
            <w:pPr>
              <w:spacing w:after="0" w:line="240" w:lineRule="auto"/>
              <w:ind w:left="165" w:right="83"/>
              <w:jc w:val="both"/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</w:pPr>
            <w:r w:rsidRPr="00645834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Ծրագրի իրականացման արդյունքում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համայնքի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</w:t>
            </w:r>
            <w:r w:rsid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նախադպրոցական տարիքի երեխաները, ինչպես նաև մարզական ՀՈԱԿ-ների սաները </w:t>
            </w:r>
            <w:r w:rsidRPr="00727A5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կապահովվեն </w:t>
            </w:r>
            <w:r w:rsidRPr="00FF385D">
              <w:rPr>
                <w:rFonts w:ascii="GHEA Grapalat" w:hAnsi="GHEA Grapalat"/>
                <w:i/>
                <w:iCs/>
                <w:lang w:val="hy-AM"/>
              </w:rPr>
              <w:t>կահավորված և անհրաժեշտ գույք</w:t>
            </w:r>
            <w:r w:rsidR="004657D1">
              <w:rPr>
                <w:rFonts w:ascii="GHEA Grapalat" w:hAnsi="GHEA Grapalat"/>
                <w:i/>
                <w:iCs/>
                <w:lang w:val="hy-AM"/>
              </w:rPr>
              <w:t>ով։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br/>
              <w:t xml:space="preserve">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Գյումրի համայնքում</w:t>
            </w:r>
            <w:r w:rsidRPr="0047423C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կ</w:t>
            </w:r>
            <w:r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գործի ժամանակակից մանկապարտեզ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ներ</w:t>
            </w:r>
            <w:r w:rsidR="00BB1FA6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 և մարզական ՀՈԱԿ-ներ</w:t>
            </w:r>
            <w:r w:rsidRPr="0047423C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 xml:space="preserve">` հագեցած </w:t>
            </w:r>
            <w:r w:rsidR="004657D1"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  <w:t>և կահավորված անհրաժեշտ գույքով։</w:t>
            </w:r>
          </w:p>
          <w:p w:rsidR="001C6947" w:rsidRPr="0046489C" w:rsidRDefault="001C6947" w:rsidP="001C6947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</w:tr>
      <w:tr w:rsidR="001C6947" w:rsidRPr="00BC24BA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9A4CBD" w:rsidRDefault="001C6947" w:rsidP="00180A8D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180A8D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</w:t>
            </w:r>
            <w:r w:rsidR="009A4CBD" w:rsidRPr="009A4CBD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:</w:t>
            </w:r>
          </w:p>
        </w:tc>
      </w:tr>
      <w:tr w:rsidR="001C6947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1C6947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1C6947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1C6947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1C6947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1C6947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lastRenderedPageBreak/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1C6947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0E3C69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773118" w:rsidRDefault="001C6947" w:rsidP="001C6947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1C6947" w:rsidRPr="000E3C69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C53D11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1C6947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1C6947" w:rsidRPr="001F7FAC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1C6947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1C6947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1C6947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C6947" w:rsidRPr="00FE637A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1C6947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1C6947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1C6947" w:rsidRPr="00141CE3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1C6947" w:rsidRPr="00BC24BA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0E3C69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C6947" w:rsidRPr="000E3C69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1C6947" w:rsidRPr="00141CE3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C53D11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Default="001C6947" w:rsidP="001C6947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0E3C69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1C6947" w:rsidRPr="000E3C69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1C6947" w:rsidRPr="000E3C69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8168CF" w:rsidRDefault="001C6947" w:rsidP="001C6947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97233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1C6947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C6947" w:rsidRPr="0090405C" w:rsidRDefault="001C6947" w:rsidP="001C6947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1C6947" w:rsidRPr="008168C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1C6947" w:rsidRPr="008168CF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 xml:space="preserve"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855230" w:rsidRDefault="001C6947" w:rsidP="001C6947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lastRenderedPageBreak/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1C6947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1C6947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1C6947" w:rsidRPr="00757E7F" w:rsidRDefault="001C6947" w:rsidP="001C694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1C6947" w:rsidRPr="00855230" w:rsidRDefault="001C6947" w:rsidP="001C694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1C6947" w:rsidRPr="00BC24BA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- հեղինակային հսկողության ծառայությունների արժեքը՝ _________ դրամ,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 դրամ,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6748DC" w:rsidRDefault="0060347F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C24B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236</w:t>
            </w:r>
            <w:r w:rsidR="001C694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BC24B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912</w:t>
            </w:r>
            <w:r w:rsidR="001C694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1C6947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Pr="0060347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երկու հարյուր երեսունվեց միլիոն ինը հարյուր տասներկու հազար</w:t>
            </w:r>
            <w:r w:rsidR="001C694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)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- 100%</w:t>
            </w:r>
          </w:p>
          <w:p w:rsidR="001C6947" w:rsidRPr="006748DC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1C6947" w:rsidRPr="00BC24BA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6748DC" w:rsidRDefault="0060347F" w:rsidP="0060347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C24B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130</w:t>
            </w:r>
            <w:r w:rsidR="001C6947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BC24B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301</w:t>
            </w:r>
            <w:r w:rsidR="007F2DF0" w:rsidRPr="006A203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BC24B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6</w:t>
            </w:r>
            <w:r w:rsidR="007F2DF0" w:rsidRPr="006A203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 w:rsidR="00127675" w:rsidRPr="0012767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հարյուր երեսուն միլիոն երեք հարյուր մեկ հազար վեց հարյուր 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 )   (</w:t>
            </w:r>
            <w:r w:rsidR="000D2FB3" w:rsidRPr="000D2FB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1C6947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6748DC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855230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C53D11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7717C2" w:rsidRPr="007717C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236,912,000 ՀՀ դրամ (երկու հարյուր երեսունվեց միլիոն ինը հարյուր տասներկու հազար)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1C694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C6947" w:rsidRPr="00141CE3" w:rsidRDefault="001C6947" w:rsidP="001C694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947" w:rsidRPr="00141CE3" w:rsidRDefault="002E3602" w:rsidP="001935F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</w:t>
            </w:r>
            <w:r w:rsidR="001935F7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.11</w:t>
            </w:r>
            <w:r w:rsidR="001C694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127675" w:rsidRPr="00C53D11" w:rsidRDefault="00127675" w:rsidP="00127675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127675" w:rsidRDefault="00127675" w:rsidP="00127675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6" w:history="1">
        <w:r w:rsidRPr="00E90AE3">
          <w:rPr>
            <w:rStyle w:val="a8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127675" w:rsidRDefault="00127675" w:rsidP="00127675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844275" w:rsidRDefault="00844275" w:rsidP="00127675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127675" w:rsidRPr="00237B68" w:rsidRDefault="00127675" w:rsidP="00127675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127675" w:rsidRPr="00A92C99" w:rsidRDefault="00127675" w:rsidP="00127675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127675" w:rsidRPr="00A92C99" w:rsidRDefault="00127675" w:rsidP="00127675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127675" w:rsidRPr="00A92C99" w:rsidTr="00E84D1A">
        <w:trPr>
          <w:tblCellSpacing w:w="7" w:type="dxa"/>
          <w:jc w:val="center"/>
        </w:trPr>
        <w:tc>
          <w:tcPr>
            <w:tcW w:w="0" w:type="auto"/>
            <w:hideMark/>
          </w:tcPr>
          <w:p w:rsidR="00127675" w:rsidRPr="00A92C99" w:rsidRDefault="00127675" w:rsidP="00E84D1A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127675" w:rsidRPr="00A92C99" w:rsidRDefault="00127675" w:rsidP="00E84D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127675" w:rsidRPr="00A92C99" w:rsidRDefault="00127675" w:rsidP="00E84D1A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BC24BA">
      <w:pgSz w:w="11906" w:h="16838" w:code="9"/>
      <w:pgMar w:top="851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44E12"/>
    <w:multiLevelType w:val="hybridMultilevel"/>
    <w:tmpl w:val="C0C00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5C0F93"/>
    <w:multiLevelType w:val="hybridMultilevel"/>
    <w:tmpl w:val="778CD0B2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6F3511DA"/>
    <w:multiLevelType w:val="hybridMultilevel"/>
    <w:tmpl w:val="7840D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33248"/>
    <w:rsid w:val="00064B01"/>
    <w:rsid w:val="000D2FB3"/>
    <w:rsid w:val="000E3C69"/>
    <w:rsid w:val="00111C6A"/>
    <w:rsid w:val="00127675"/>
    <w:rsid w:val="00141CE3"/>
    <w:rsid w:val="0016400E"/>
    <w:rsid w:val="00180A8D"/>
    <w:rsid w:val="00182A3E"/>
    <w:rsid w:val="00183C31"/>
    <w:rsid w:val="001935F7"/>
    <w:rsid w:val="001A4CD5"/>
    <w:rsid w:val="001B5FB8"/>
    <w:rsid w:val="001B7009"/>
    <w:rsid w:val="001C6947"/>
    <w:rsid w:val="001C7AC2"/>
    <w:rsid w:val="001D115D"/>
    <w:rsid w:val="001E2457"/>
    <w:rsid w:val="001F7FAC"/>
    <w:rsid w:val="00274066"/>
    <w:rsid w:val="00286685"/>
    <w:rsid w:val="002D1FA9"/>
    <w:rsid w:val="002D7568"/>
    <w:rsid w:val="002E3602"/>
    <w:rsid w:val="003128F4"/>
    <w:rsid w:val="00376D19"/>
    <w:rsid w:val="003836B0"/>
    <w:rsid w:val="003D2446"/>
    <w:rsid w:val="003E6C37"/>
    <w:rsid w:val="003F0270"/>
    <w:rsid w:val="00422D2E"/>
    <w:rsid w:val="0042472C"/>
    <w:rsid w:val="00452C72"/>
    <w:rsid w:val="004657D1"/>
    <w:rsid w:val="00484EF4"/>
    <w:rsid w:val="00487535"/>
    <w:rsid w:val="00487C15"/>
    <w:rsid w:val="004E3327"/>
    <w:rsid w:val="004F5397"/>
    <w:rsid w:val="0050574B"/>
    <w:rsid w:val="00544592"/>
    <w:rsid w:val="00584790"/>
    <w:rsid w:val="00596DEC"/>
    <w:rsid w:val="005D323C"/>
    <w:rsid w:val="0060347F"/>
    <w:rsid w:val="00623205"/>
    <w:rsid w:val="00624F46"/>
    <w:rsid w:val="006320DE"/>
    <w:rsid w:val="00670504"/>
    <w:rsid w:val="00673683"/>
    <w:rsid w:val="006748DC"/>
    <w:rsid w:val="006A2032"/>
    <w:rsid w:val="006C40DB"/>
    <w:rsid w:val="006D718F"/>
    <w:rsid w:val="006F7210"/>
    <w:rsid w:val="00750F27"/>
    <w:rsid w:val="00757E7F"/>
    <w:rsid w:val="00767BF4"/>
    <w:rsid w:val="007717C2"/>
    <w:rsid w:val="00773118"/>
    <w:rsid w:val="00774F46"/>
    <w:rsid w:val="007E134A"/>
    <w:rsid w:val="007F2DF0"/>
    <w:rsid w:val="008168CF"/>
    <w:rsid w:val="00822FA5"/>
    <w:rsid w:val="0084381B"/>
    <w:rsid w:val="00844275"/>
    <w:rsid w:val="00855230"/>
    <w:rsid w:val="008D112F"/>
    <w:rsid w:val="0090405C"/>
    <w:rsid w:val="00945157"/>
    <w:rsid w:val="00946EA2"/>
    <w:rsid w:val="0097233F"/>
    <w:rsid w:val="00985675"/>
    <w:rsid w:val="009A4CBD"/>
    <w:rsid w:val="00A01EB4"/>
    <w:rsid w:val="00A1600A"/>
    <w:rsid w:val="00A341DD"/>
    <w:rsid w:val="00A37DF3"/>
    <w:rsid w:val="00A92C99"/>
    <w:rsid w:val="00B51F4F"/>
    <w:rsid w:val="00BB1FA6"/>
    <w:rsid w:val="00BC24BA"/>
    <w:rsid w:val="00BF7B04"/>
    <w:rsid w:val="00C53D11"/>
    <w:rsid w:val="00C96385"/>
    <w:rsid w:val="00CE4B84"/>
    <w:rsid w:val="00D32124"/>
    <w:rsid w:val="00DA55FE"/>
    <w:rsid w:val="00DC35D4"/>
    <w:rsid w:val="00DD43E3"/>
    <w:rsid w:val="00DE375B"/>
    <w:rsid w:val="00DF13CD"/>
    <w:rsid w:val="00DF62EE"/>
    <w:rsid w:val="00E230AD"/>
    <w:rsid w:val="00E9623C"/>
    <w:rsid w:val="00EA5EA7"/>
    <w:rsid w:val="00EC3E6E"/>
    <w:rsid w:val="00EC49F3"/>
    <w:rsid w:val="00EE3A64"/>
    <w:rsid w:val="00EF4171"/>
    <w:rsid w:val="00F22D0A"/>
    <w:rsid w:val="00F33284"/>
    <w:rsid w:val="00F4401A"/>
    <w:rsid w:val="00F711A8"/>
    <w:rsid w:val="00F9638C"/>
    <w:rsid w:val="00FC0638"/>
    <w:rsid w:val="00FC423B"/>
    <w:rsid w:val="00FD10D5"/>
    <w:rsid w:val="00FD481F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41DD"/>
    <w:rPr>
      <w:b/>
      <w:bCs/>
    </w:rPr>
  </w:style>
  <w:style w:type="paragraph" w:styleId="a4">
    <w:name w:val="Normal (Web)"/>
    <w:basedOn w:val="a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D10D5"/>
    <w:rPr>
      <w:i/>
      <w:iCs/>
    </w:rPr>
  </w:style>
  <w:style w:type="paragraph" w:styleId="a6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,Bull"/>
    <w:basedOn w:val="a"/>
    <w:link w:val="a7"/>
    <w:qFormat/>
    <w:rsid w:val="003F0270"/>
    <w:pPr>
      <w:ind w:left="720"/>
      <w:contextualSpacing/>
    </w:pPr>
  </w:style>
  <w:style w:type="character" w:customStyle="1" w:styleId="a7">
    <w:name w:val="Абзац списка Знак"/>
    <w:aliases w:val="Table no. List Paragraph Знак,Bullet1 Знак,References Знак,List Paragraph (numbered (a)) Знак,IBL List Paragraph Знак,List Paragraph nowy Знак,Numbered List Paragraph Знак,Akapit z listą BS Знак,List Paragraph 1 Знак,Абзац списка3 Знак"/>
    <w:link w:val="a6"/>
    <w:locked/>
    <w:rsid w:val="00183C31"/>
    <w:rPr>
      <w:lang w:val="en-US"/>
    </w:rPr>
  </w:style>
  <w:style w:type="character" w:styleId="a8">
    <w:name w:val="Hyperlink"/>
    <w:basedOn w:val="a0"/>
    <w:uiPriority w:val="99"/>
    <w:unhideWhenUsed/>
    <w:rsid w:val="001276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anshaboyan1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B1787-8B26-4681-9687-A859EF63B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2058</Words>
  <Characters>11731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https:/mul2.gyumricity.am/tasks/50611/oneclick/23 mankapartez.docx?token=e488f24af8bacedc4ef475a7b4de17f5</cp:keywords>
  <cp:lastModifiedBy>Admin</cp:lastModifiedBy>
  <cp:revision>2</cp:revision>
  <cp:lastPrinted>2022-11-25T06:24:00Z</cp:lastPrinted>
  <dcterms:created xsi:type="dcterms:W3CDTF">2022-11-25T13:35:00Z</dcterms:created>
  <dcterms:modified xsi:type="dcterms:W3CDTF">2022-11-25T13:35:00Z</dcterms:modified>
</cp:coreProperties>
</file>