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6C24DC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6C24DC" w:rsidRDefault="006C24DC" w:rsidP="006C24D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6C24DC" w:rsidRDefault="006C24DC" w:rsidP="006C24D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6C24DC" w:rsidP="006C24D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1F4A51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7B2367" w:rsidP="0089789F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B236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Համայնքային  երկու այգիների, մեկ պուրակի բարեկարգման և մեկ զբոսայգու  կառուցման աշխատանքներ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28F4" w:rsidRPr="00C60978" w:rsidRDefault="0089789F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ընդհանուր նպատակն է Գյումրի համայնքի բնակչության համար բացօթյա ժամանցային հնարավորությունների ավելացում և խթանել առողջ ապրելակերտը Գյումրի համայնքում։</w:t>
            </w:r>
          </w:p>
          <w:p w:rsidR="008D2D24" w:rsidRPr="006C24DC" w:rsidRDefault="00254108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արդյունքում համայնքային այգիները ու պուրակները կբարեկարգվեն։ </w:t>
            </w:r>
            <w:r w:rsidR="008D2D24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Բարեկարգվելու են Կուրսկի </w:t>
            </w:r>
            <w:r w:rsidR="00CA01D3" w:rsidRPr="00C60978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հայ-ռուսական բարեկամությա</w:t>
            </w:r>
            <w:r w:rsidR="00FC04B4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ն այգին, </w:t>
            </w:r>
            <w:r w:rsidR="00CA01D3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Յուրի  Վարդանյանի  անվան </w:t>
            </w:r>
            <w:r w:rsidR="005037E3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պուրակը</w:t>
            </w:r>
            <w:r w:rsidR="00CA01D3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FC04B4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Իսահակյան այգի</w:t>
            </w:r>
            <w:r w:rsidR="00FC04B4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ն,ինչպես</w:t>
            </w:r>
            <w:r w:rsidR="005037E3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նաև</w:t>
            </w:r>
            <w:r w:rsidR="00FC04B4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նաև</w:t>
            </w:r>
            <w:r w:rsidR="00C60978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կառուցվելու է</w:t>
            </w:r>
            <w:r w:rsidR="00FC04B4" w:rsidRPr="006C24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FC04B4" w:rsidRPr="00C60978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 xml:space="preserve">Մ.Խորենացի փողոցի </w:t>
            </w:r>
            <w:r w:rsidR="00FC04B4" w:rsidRPr="00C60978">
              <w:rPr>
                <w:rFonts w:ascii="Courier New" w:hAnsi="Courier New" w:cs="Courier New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="00FC04B4" w:rsidRPr="00C60978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>հարևանությամբ</w:t>
            </w:r>
            <w:r w:rsidR="00C60978" w:rsidRPr="006C24DC">
              <w:rPr>
                <w:rFonts w:ascii="GHEA Grapalat" w:hAnsi="GHEA Grapalat" w:cs="Arial"/>
                <w:bCs/>
                <w:color w:val="222222"/>
                <w:sz w:val="21"/>
                <w:szCs w:val="21"/>
                <w:shd w:val="clear" w:color="auto" w:fill="FFFFFF"/>
                <w:lang w:val="hy-AM"/>
              </w:rPr>
              <w:t xml:space="preserve"> նոր զբոսայգի:</w:t>
            </w:r>
          </w:p>
          <w:p w:rsidR="008D2D24" w:rsidRPr="00C60978" w:rsidRDefault="008D2D24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նախատեսվում է ընդամենը 890 մ երկարության այգիների և պուրակների բարեկարգում մոտ 20000 քմ։</w:t>
            </w:r>
          </w:p>
          <w:p w:rsidR="008D2D24" w:rsidRPr="00C60978" w:rsidRDefault="008D2D24" w:rsidP="00E23DA4">
            <w:pPr>
              <w:spacing w:before="6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Ամեն տարի անհրաժեշտություն է առաջանում նորոգել և ապահովել այգի-պուրակների անխափան աշխատանքը։ Այն նաև հանդիսանում է մարզկենտրոն համարվող քաղաքի բարեկարգ դիմագիծը՝ անհրաժեշտ է հիմնովին </w:t>
            </w:r>
            <w:r w:rsidR="00CA100C"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</w:t>
            </w:r>
            <w:r w:rsidRPr="00C609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արեկարգել ժամանակակից լուծումներով։ Ինչը միայն համայնքի միջոցներով հնարավոր չէ իրականացնել։</w:t>
            </w:r>
          </w:p>
          <w:p w:rsidR="008D2D24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Իսահակյանի այգին բնակիչների համար հանգստի գոտի է, որը գտնվում է համայնքի կենտրոնական հատվածում, որտեղ գտնվում են նաև հուշակոթողներ։ Տարածքը գտնվում է անբարեկարգ վիճակում։ </w:t>
            </w:r>
          </w:p>
          <w:p w:rsidR="008D2D24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Պուրակ-այգին ընդգրկում է 10000</w:t>
            </w:r>
            <w:r w:rsidR="00CA100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քմ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տարածք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500 մ երկարությամբ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։</w:t>
            </w:r>
          </w:p>
          <w:p w:rsidR="002B2F6C" w:rsidRPr="00E23DA4" w:rsidRDefault="008D2D24" w:rsidP="00E23DA4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Կուրսկի </w:t>
            </w:r>
            <w:r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հայ-ռուսական բարեկամության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այգի-պուրակը ևս գտնվում է համայնքի համար զբոսաշրջային հատվածում,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որտեղ գտնվում է </w:t>
            </w:r>
            <w:r w:rsidR="002B2F6C"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Գյումրի և Կուրսկ քաղաքների մշակութային, տնտեսական համագործակցությ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="002B2F6C" w:rsidRPr="00E23DA4">
              <w:rPr>
                <w:rFonts w:ascii="GHEA Grapalat" w:eastAsia="Times New Roman" w:hAnsi="GHEA Grapalat" w:hint="eastAsia"/>
                <w:i/>
                <w:sz w:val="21"/>
                <w:szCs w:val="21"/>
                <w:lang w:val="hy-AM"/>
              </w:rPr>
              <w:t>ն</w:t>
            </w:r>
            <w:r w:rsidR="002B2F6C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հուշակոթողը։ Տարածքը գտնվում է անբարեկարգ վիճակում։ </w:t>
            </w:r>
          </w:p>
          <w:p w:rsidR="008D2D24" w:rsidRPr="00E23DA4" w:rsidRDefault="002B2F6C" w:rsidP="00CA100C">
            <w:pPr>
              <w:spacing w:before="60" w:after="0" w:line="264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Պուրակ-այգին ընդգրկում է 10000</w:t>
            </w:r>
            <w:r w:rsidR="00CA100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</w:t>
            </w:r>
            <w:r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  տարածք, 3902մ երկարությամբ։</w:t>
            </w:r>
          </w:p>
        </w:tc>
      </w:tr>
      <w:tr w:rsidR="00945157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535" w:rsidRDefault="00623205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ակնկալվում է</w:t>
            </w:r>
            <w:r w:rsidR="00B2509D" w:rsidRPr="00E23DA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ստեղծելով բարեկարգ այգի-պուրակ Գյումրի համայնքի բնակիչների հանգստի, ժամանցի պայմանները։ Համայնքը կստանան բարեկարգ դիմագիծ։ Հետագայում հնարավոր կլինի նաև այգի-պուրակները կահավորել խաղահրապարակներով։</w:t>
            </w:r>
          </w:p>
          <w:p w:rsidR="003F0270" w:rsidRPr="00D32124" w:rsidRDefault="003F0270" w:rsidP="00E23DA4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</w:tc>
      </w:tr>
      <w:tr w:rsidR="00945157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E23DA4" w:rsidRPr="00E23DA4" w:rsidRDefault="00855230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E23DA4" w:rsidRPr="00E23DA4" w:rsidRDefault="00E23DA4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E23DA4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 xml:space="preserve">Ծրագրի ցանկալի արդյունք ապահովելու նպատակով նախատեսել աշխատանքների նկատմամբ տեխնիկական, հեղինակային </w:t>
            </w:r>
            <w:r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>հսկողություն</w:t>
            </w:r>
          </w:p>
          <w:p w:rsidR="00E23DA4" w:rsidRPr="00E23DA4" w:rsidRDefault="00E23DA4" w:rsidP="00E23DA4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2E5F25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>Կատարել նախագծի փորձաքննություն</w:t>
            </w:r>
          </w:p>
          <w:p w:rsidR="00FE7117" w:rsidRPr="00487535" w:rsidRDefault="00FE7117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Աշխատանքների իրականացում, արդյունքների ընդունում և վերահսկողություն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սեփականության իրավունքով պատկանող հիմնական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E23DA4" w:rsidP="00E23DA4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lastRenderedPageBreak/>
              <w:t>Բարեկարգված տարածքները համարվում են Գյումրի</w:t>
            </w:r>
            <w:r w:rsidRPr="005C12E1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t xml:space="preserve"> համայնքի սեփականություն։ Նախատեսվող ծախսերը համարվում են կապիտալ և հիմնական միջոցների ներդրման արդյունքում կբարձրանա գույքի </w:t>
            </w:r>
            <w:r w:rsidRPr="005C12E1">
              <w:rPr>
                <w:rFonts w:ascii="GHEA Grapalat" w:eastAsia="Times New Roman" w:hAnsi="GHEA Grapalat" w:cs="Times New Roman"/>
                <w:i/>
                <w:iCs/>
                <w:color w:val="000000"/>
                <w:sz w:val="21"/>
                <w:szCs w:val="21"/>
                <w:lang w:val="hy-AM" w:eastAsia="ru-RU"/>
              </w:rPr>
              <w:lastRenderedPageBreak/>
              <w:t>հաշվեկշռային արժեքը:</w:t>
            </w:r>
          </w:p>
        </w:tc>
      </w:tr>
      <w:tr w:rsidR="006748DC" w:rsidRPr="006C24DC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46489C" w:rsidRDefault="004E3327" w:rsidP="00E23DA4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E332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Գյումրի համայնքի ազգաբնակչությունը և համայնք այցելող բազմահազար հյուրերն ու զբոսաշրջիկները։ </w:t>
            </w:r>
          </w:p>
        </w:tc>
      </w:tr>
      <w:tr w:rsidR="006748DC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6C24DC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6C24D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-ինչպես նաև առանձին ներկայացնել հասարակական շենքերի և բազմաբնակարան շենքերի ընդհանուր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10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հարյուր միլիոն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000 ՀՀ դրամ </w:t>
            </w: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Default="00E23DA4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Pr="006748DC" w:rsidRDefault="00E23DA4" w:rsidP="002D75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862ADB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654CC4" w:rsidP="00654CC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 )  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D16E0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16E0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D16E0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հարյուր միլիոն դրամ)</w:t>
            </w:r>
            <w:r w:rsidR="00D16E0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1F4A51" w:rsidP="001F4A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5037E3" w:rsidRPr="00C53D11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5037E3" w:rsidRDefault="005037E3" w:rsidP="005037E3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2B2993">
          <w:rPr>
            <w:rStyle w:val="a7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5037E3" w:rsidRPr="00237B68" w:rsidRDefault="005037E3" w:rsidP="005037E3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5037E3" w:rsidRPr="00A92C99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5037E3" w:rsidRPr="00A92C99" w:rsidRDefault="005037E3" w:rsidP="005037E3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5037E3" w:rsidRPr="00A92C99" w:rsidTr="00D4130C">
        <w:trPr>
          <w:tblCellSpacing w:w="7" w:type="dxa"/>
          <w:jc w:val="center"/>
        </w:trPr>
        <w:tc>
          <w:tcPr>
            <w:tcW w:w="0" w:type="auto"/>
            <w:hideMark/>
          </w:tcPr>
          <w:p w:rsidR="005037E3" w:rsidRPr="00A92C99" w:rsidRDefault="005037E3" w:rsidP="00D4130C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5037E3" w:rsidRPr="00A92C99" w:rsidRDefault="005037E3" w:rsidP="00D413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5037E3" w:rsidRPr="00A92C99" w:rsidRDefault="005037E3" w:rsidP="00D4130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Default="00CE4B84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p w:rsidR="002C3409" w:rsidRDefault="002C3409">
      <w:pPr>
        <w:rPr>
          <w:rFonts w:ascii="GHEA Grapalat" w:hAnsi="GHEA Grapalat"/>
          <w:lang w:val="hy-AM"/>
        </w:rPr>
      </w:pPr>
    </w:p>
    <w:sectPr w:rsidR="002C3409" w:rsidSect="006C24DC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01D83"/>
    <w:multiLevelType w:val="hybridMultilevel"/>
    <w:tmpl w:val="FAAAFA10"/>
    <w:lvl w:ilvl="0" w:tplc="762A9CEE">
      <w:numFmt w:val="bullet"/>
      <w:lvlText w:val="-"/>
      <w:lvlJc w:val="left"/>
      <w:pPr>
        <w:ind w:left="525" w:hanging="360"/>
      </w:pPr>
      <w:rPr>
        <w:rFonts w:ascii="Cambria Math" w:eastAsia="Times New Roman" w:hAnsi="Cambria Math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45157"/>
    <w:rsid w:val="00033248"/>
    <w:rsid w:val="000D45A4"/>
    <w:rsid w:val="000E3C69"/>
    <w:rsid w:val="00111C6A"/>
    <w:rsid w:val="00141CE3"/>
    <w:rsid w:val="0016400E"/>
    <w:rsid w:val="00182A3E"/>
    <w:rsid w:val="001B5FB8"/>
    <w:rsid w:val="001B7009"/>
    <w:rsid w:val="001F4A51"/>
    <w:rsid w:val="001F7FAC"/>
    <w:rsid w:val="00254108"/>
    <w:rsid w:val="00274066"/>
    <w:rsid w:val="00286685"/>
    <w:rsid w:val="002B2F6C"/>
    <w:rsid w:val="002B4253"/>
    <w:rsid w:val="002C3409"/>
    <w:rsid w:val="002D1FA9"/>
    <w:rsid w:val="002D7568"/>
    <w:rsid w:val="003128F4"/>
    <w:rsid w:val="00376D19"/>
    <w:rsid w:val="003D2446"/>
    <w:rsid w:val="003E6C37"/>
    <w:rsid w:val="003F0270"/>
    <w:rsid w:val="00422D2E"/>
    <w:rsid w:val="0042472C"/>
    <w:rsid w:val="00487535"/>
    <w:rsid w:val="004A4DD0"/>
    <w:rsid w:val="004E3327"/>
    <w:rsid w:val="004F5397"/>
    <w:rsid w:val="005037E3"/>
    <w:rsid w:val="005127F3"/>
    <w:rsid w:val="00544592"/>
    <w:rsid w:val="00596DEC"/>
    <w:rsid w:val="005D323C"/>
    <w:rsid w:val="00623205"/>
    <w:rsid w:val="00624F46"/>
    <w:rsid w:val="006320DE"/>
    <w:rsid w:val="00654CC4"/>
    <w:rsid w:val="00673683"/>
    <w:rsid w:val="006748DC"/>
    <w:rsid w:val="006C24DC"/>
    <w:rsid w:val="006C40DB"/>
    <w:rsid w:val="006D718F"/>
    <w:rsid w:val="00757E7F"/>
    <w:rsid w:val="00767BF4"/>
    <w:rsid w:val="00773118"/>
    <w:rsid w:val="00774571"/>
    <w:rsid w:val="00774F46"/>
    <w:rsid w:val="007B2367"/>
    <w:rsid w:val="007C4A46"/>
    <w:rsid w:val="007E134A"/>
    <w:rsid w:val="008168CF"/>
    <w:rsid w:val="00841B91"/>
    <w:rsid w:val="00855230"/>
    <w:rsid w:val="00862ADB"/>
    <w:rsid w:val="0089789F"/>
    <w:rsid w:val="008D112F"/>
    <w:rsid w:val="008D2D24"/>
    <w:rsid w:val="0090405C"/>
    <w:rsid w:val="00945157"/>
    <w:rsid w:val="00946EA2"/>
    <w:rsid w:val="0097233F"/>
    <w:rsid w:val="00985675"/>
    <w:rsid w:val="009B4825"/>
    <w:rsid w:val="00A01EB4"/>
    <w:rsid w:val="00A1600A"/>
    <w:rsid w:val="00A341DD"/>
    <w:rsid w:val="00A37DF3"/>
    <w:rsid w:val="00A92C99"/>
    <w:rsid w:val="00B2509D"/>
    <w:rsid w:val="00C53D11"/>
    <w:rsid w:val="00C60978"/>
    <w:rsid w:val="00C96385"/>
    <w:rsid w:val="00CA01D3"/>
    <w:rsid w:val="00CA100C"/>
    <w:rsid w:val="00CE4B84"/>
    <w:rsid w:val="00D16E0A"/>
    <w:rsid w:val="00D32124"/>
    <w:rsid w:val="00DA55FE"/>
    <w:rsid w:val="00DC35D4"/>
    <w:rsid w:val="00DD43E3"/>
    <w:rsid w:val="00DF13CD"/>
    <w:rsid w:val="00DF62EE"/>
    <w:rsid w:val="00E23DA4"/>
    <w:rsid w:val="00E9623C"/>
    <w:rsid w:val="00EA5EA7"/>
    <w:rsid w:val="00ED437E"/>
    <w:rsid w:val="00EE2A37"/>
    <w:rsid w:val="00EE3A64"/>
    <w:rsid w:val="00EF132B"/>
    <w:rsid w:val="00F26125"/>
    <w:rsid w:val="00F33284"/>
    <w:rsid w:val="00F4401A"/>
    <w:rsid w:val="00F711A8"/>
    <w:rsid w:val="00F9638C"/>
    <w:rsid w:val="00FC04B4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paragraph" w:styleId="a6">
    <w:name w:val="List Paragraph"/>
    <w:basedOn w:val="a"/>
    <w:uiPriority w:val="34"/>
    <w:qFormat/>
    <w:rsid w:val="003F02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037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1933</Words>
  <Characters>11023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https:/mul2.gyumricity.am/tasks/50602/oneclick/2 aygi, 1 purak.docx?token=519fb794528fd18e31ccd4a854a7e793</cp:keywords>
  <cp:lastModifiedBy>Admin</cp:lastModifiedBy>
  <cp:revision>2</cp:revision>
  <cp:lastPrinted>2022-11-25T06:22:00Z</cp:lastPrinted>
  <dcterms:created xsi:type="dcterms:W3CDTF">2022-11-25T13:22:00Z</dcterms:created>
  <dcterms:modified xsi:type="dcterms:W3CDTF">2022-11-25T13:22:00Z</dcterms:modified>
</cp:coreProperties>
</file>