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714553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714553" w:rsidRDefault="00714553" w:rsidP="00714553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Հավելված՝</w:t>
            </w:r>
          </w:p>
          <w:p w:rsidR="00714553" w:rsidRDefault="00714553" w:rsidP="00714553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Հայաստանի Հանրապետության Շիրակի մարզի Գյումրի համայնքի  ավագանու 2022 թվականի</w:t>
            </w:r>
          </w:p>
          <w:p w:rsidR="00945157" w:rsidRPr="00A92C99" w:rsidRDefault="00714553" w:rsidP="00714553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28-ի N      -Ա  որոշման</w:t>
            </w:r>
          </w:p>
        </w:tc>
      </w:tr>
    </w:tbl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5E53EB" w:rsidRDefault="005D323C" w:rsidP="00E9635B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  <w:r w:rsidR="00702FF8" w:rsidRPr="00702FF8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 w:rsidR="00702FF8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համայնքի թվով </w:t>
            </w:r>
            <w:r w:rsidR="00E9635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1</w:t>
            </w:r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բազմաբնակարան</w:t>
            </w:r>
            <w:proofErr w:type="spellEnd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շենքերի</w:t>
            </w:r>
            <w:proofErr w:type="spellEnd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էնե</w:t>
            </w:r>
            <w:r w:rsidR="005E53EB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րգաարդյունավետության</w:t>
            </w:r>
            <w:proofErr w:type="spellEnd"/>
            <w:r w:rsidR="005E53EB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="005E53EB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արդիականաց</w:t>
            </w:r>
            <w:proofErr w:type="spellEnd"/>
            <w:r w:rsidR="005E53E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ում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  <w:proofErr w:type="spellEnd"/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համայնքները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հեռավորությունը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մայրաքաղաք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Երևանից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ինչպես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նաև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մարզկենտրոնից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մարզի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մարզկենտրոնն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է և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մայրաքաղաքից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գտնվում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է 118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կմ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հեռավորության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վրա</w:t>
            </w:r>
            <w:proofErr w:type="spellEnd"/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բնակչությունը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լեռնային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գլխավոր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հատակագծի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ունի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գլխավոր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հատակագիծ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հաստատվել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 լուսավորության համակարգի </w:t>
            </w: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323C" w:rsidRPr="005D323C" w:rsidRDefault="005D323C" w:rsidP="005D323C">
            <w:pPr>
              <w:spacing w:before="100" w:beforeAutospacing="1" w:after="100" w:afterAutospacing="1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Ծրագրով նախ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տեսվում է Գյումրի քաղաքում թվով երկու բազմաբնակարան շենքերում իրականացնել էներգախնայողության ծրագիր:</w:t>
            </w:r>
          </w:p>
          <w:p w:rsidR="00596C61" w:rsidRPr="00596C61" w:rsidRDefault="005D323C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Ընտր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ված շենքերն են` 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Պ.Սևակ 2 շ.</w:t>
            </w:r>
          </w:p>
          <w:p w:rsidR="0008454D" w:rsidRPr="005D323C" w:rsidRDefault="005D323C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Ծրագրի իրականացման արդյունքում բնակարանների ջեռուցման նպատակով սպառվող էլեկտրաէներգիայի գազի ծախսերը կկրճատվեն 30-60%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-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ով, բնակարանների շուկայական գինը կավելանա 10-20%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-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ով: Շենքերում բնակարանների ընդհանուր թիվը կա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զ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մում է 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84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բնակարան, որոնցից բնակեցված է 1</w:t>
            </w:r>
            <w:r w:rsidR="00596C6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8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4-ը, բնակիչների ընդհանուր թիվ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ը կազմում է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254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E9635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անձ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 Բոլոր շենքերը կառուցվել կամ ամրացվել են երկրաշարժից հետո` ունեն մոնոլիտային կառուցվածք: Ծրագրի հաստատման դեպքում շենքերը սպասարկող համատիրությունների հետ կստորագրվի փոխգործակծության հուշագիր, որով համատիրությունները կպարտավորվեն մասամբ մասնակցել  ծրագրի ֆինանսավորմանը 5%-ը: Նախատեսվող էներգախնայողության  միջոցառումներն են` շենքերի արտաքին պատերի ջերմամեկուսացում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՝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 xml:space="preserve"> փրփրապոլիստիրոլով (ESP) իսկ բացվածքների եզրամասերում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՝ հանքային բամբակով,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շենքերի տանիքի ջերմամեկուսացում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պրոֆ</w:t>
            </w:r>
            <w:r w:rsidR="0008454D">
              <w:rPr>
                <w:rFonts w:ascii="Cambria Math" w:eastAsia="Times New Roman" w:hAnsi="Cambria Math"/>
                <w:i/>
                <w:sz w:val="21"/>
                <w:szCs w:val="21"/>
                <w:lang w:val="hy-AM"/>
              </w:rPr>
              <w:t xml:space="preserve">․ 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ցինկապատով թիթեղապատում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ձեռնալուսամուտի տեղադրում, ջրատար խողովակների փոխարինում,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ընդհանուր տարածքներում նոր էներգաարդյունավետ դռների և պատուհանների տեղադրում, էներգաարդյունավետ լու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սավորության համակարգի տեղադրում, 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>շքամուտքերի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և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 xml:space="preserve"> միջանցքների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վերանորոգում,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 xml:space="preserve"> 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>րտաքին պատերը իրականացնել դեկորատիվ գունավոր սվաղաներկ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ում և</w:t>
            </w:r>
            <w:r w:rsidR="0008454D" w:rsidRPr="0008454D"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  <w:t xml:space="preserve"> բազալտե սալիկներով որմնախարիսխ</w:t>
            </w:r>
            <w:r w:rsidR="0008454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ում։</w:t>
            </w:r>
          </w:p>
          <w:p w:rsidR="003128F4" w:rsidRPr="00C53D11" w:rsidRDefault="003128F4" w:rsidP="003128F4">
            <w:pPr>
              <w:spacing w:after="0" w:line="240" w:lineRule="auto"/>
              <w:ind w:right="144"/>
              <w:jc w:val="both"/>
              <w:rPr>
                <w:rFonts w:ascii="Cambria Math" w:eastAsia="Times New Roman" w:hAnsi="Cambria Math" w:cs="Times New Roman"/>
                <w:i/>
                <w:iCs/>
                <w:sz w:val="21"/>
                <w:szCs w:val="21"/>
                <w:lang w:val="hy-AM"/>
              </w:rPr>
            </w:pPr>
          </w:p>
        </w:tc>
      </w:tr>
      <w:tr w:rsidR="00945157" w:rsidRPr="005D323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124" w:rsidRDefault="00D32124" w:rsidP="00D32124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Ծրագրի ակնկալվող արդյունքներն են․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Ջեռուցման նպատակով սպառվող էլեկտրաէներգիայի և գազի ծախսի 30-60% կրճատում: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Բնակարանների շուկայական արժեքի 10-20% բարձրացում: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Շենքի արտաքին տեսքի և ընդհանուր տարածքների,այդ թվում տանիքի ամբողջական բարեկարգում: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Բազմաբնակարան բնակֆոնդի պատշաճ պահպանում և կառավարման, հետագա պահպնման խնդիրների բարելավում:</w:t>
            </w:r>
          </w:p>
          <w:p w:rsid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Պետական և դոնոր կազմակերպությունների ֆինանսական մ</w:t>
            </w:r>
            <w:r w:rsidR="00FF587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</w:t>
            </w: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ջոց</w:t>
            </w:r>
            <w:r w:rsidR="00891EA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ն</w:t>
            </w: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երի ներգրավում համայնքում իրականացվող ծր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ագրերին</w:t>
            </w:r>
          </w:p>
          <w:p w:rsidR="00487535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Տուրիստական գրավչության աստիճանի բարձրացում:</w:t>
            </w:r>
          </w:p>
        </w:tc>
      </w:tr>
      <w:tr w:rsidR="00945157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54D" w:rsidRPr="000267D9" w:rsidRDefault="0008454D" w:rsidP="0008454D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ախագծա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նախահաշվային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փաստաթղթեր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կազմում։</w:t>
            </w:r>
          </w:p>
          <w:p w:rsidR="0008454D" w:rsidRPr="00487535" w:rsidRDefault="0008454D" w:rsidP="0008454D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ախագծանախահաշվային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փաստաթղթեր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փորձաքննության անցկացում։</w:t>
            </w:r>
          </w:p>
          <w:p w:rsidR="0008454D" w:rsidRPr="00487535" w:rsidRDefault="0008454D" w:rsidP="0008454D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Օ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րենքով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սահմանված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կարգով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կ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ազմակերպ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08454D" w:rsidRPr="00054D47" w:rsidRDefault="0008454D" w:rsidP="0008454D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Մրցույթի արդյունքների ամփոփում, </w:t>
            </w:r>
            <w:r w:rsidRPr="00054D47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մրցույթում հաղթող կապալառու կազմակերպության հետ պայմանագրի կնքում, ինչպես նաև </w:t>
            </w:r>
            <w:r w:rsidRPr="00054D47">
              <w:rPr>
                <w:rFonts w:ascii="GHEA Grapalat" w:hAnsi="GHEA Grapalat" w:cs="Sylfaen"/>
                <w:bCs/>
                <w:i/>
                <w:sz w:val="21"/>
                <w:szCs w:val="21"/>
                <w:lang w:val="hy-AM"/>
              </w:rPr>
              <w:t>տեխնիկական և հեղինակային հսկողություն իրականացնող կազմակերպությունների հետ պայմանագրերի կնքում։</w:t>
            </w:r>
          </w:p>
          <w:p w:rsidR="0008454D" w:rsidRPr="00054D47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Շինարարական աշխատանքների կազմակերպում։</w:t>
            </w:r>
          </w:p>
          <w:p w:rsidR="0008454D" w:rsidRPr="00054D47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շխատանքների ընթացքի և որակի համապատասխանության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պարբերաբար ստուգում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08454D" w:rsidRPr="00054D47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>Ըստ անհրաժեշտության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՝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կապալառու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կողմից իր միջոցների հաշվին,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տեխնիկական հետազոտություններ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ու փորձարկումներ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իրականացում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08454D" w:rsidRPr="00054D47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Ֆ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ինանսական ներդրման համայնքային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մասնաբաժնի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համաֆինանսավորում։</w:t>
            </w:r>
          </w:p>
          <w:p w:rsidR="00945157" w:rsidRPr="00487535" w:rsidRDefault="0008454D" w:rsidP="0008454D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ներ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հանձնում-ընդունում և շինարարական օբյեկտների ավարտական ակտ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(շահագործման թույլտվություն)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ձ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ևակերպում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</w:tc>
      </w:tr>
      <w:tr w:rsidR="00945157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6748DC" w:rsidP="00487535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արդյունքում համայնքին սեփականության իրավունքով պատկանող հիմնական միջոցների արժեքի ավելացում չի նախատեսվում:</w:t>
            </w:r>
          </w:p>
        </w:tc>
      </w:tr>
      <w:tr w:rsidR="006748DC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46489C" w:rsidRDefault="0008454D" w:rsidP="0008454D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շահառուներն են՝ </w:t>
            </w:r>
            <w:r w:rsidR="00596C6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8</w:t>
            </w:r>
            <w:r w:rsidR="006748DC"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4 բնակարաններում բնակվող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254</w:t>
            </w:r>
            <w:r w:rsidR="006748DC"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բնակիչ: Բոլոր բնակիչները ստանալու են ուղղակի օգուտ ծրագրի իրականացումից: 30-60%-ով նվազելու է բնակարանների ջեռուցման ծախսը, 10-20%- ով ավելանալու է բնակարանների շուկայական արժեքը, բարելավվելու է բնակարանների հարմարավետությունը ու շենքի արտաքին տեսքը: Համայնքի մյուս բազմաբնակարան շենքերի բնակիչների ու համատիրությունների համար ծրագրի իրականացումը դառնալու է օրինակ խթանելով հետագայում նմանատիպ միջոցառումների իրականացումը  հենց համատիրությունների նախաձեռնեւթյամբ:</w:t>
            </w:r>
          </w:p>
        </w:tc>
      </w:tr>
      <w:tr w:rsidR="006748DC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A90A96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A90A96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  <w:proofErr w:type="spellEnd"/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  <w:proofErr w:type="spellEnd"/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  <w:proofErr w:type="spellEnd"/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եկամուտները</w:t>
                  </w:r>
                  <w:proofErr w:type="spellEnd"/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թվում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կառուցում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lastRenderedPageBreak/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կապիտալ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վերանորոգում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Տրանսպորտային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Այլ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մեքենաներ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Աճեցվող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ակտիվներ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Նախագծահետազոտական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Հող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  <w:proofErr w:type="spellEnd"/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եկամուտների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պլանավորում</w:t>
                  </w:r>
                  <w:proofErr w:type="spellEnd"/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թվում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պլանավորված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կառուցում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կապիտալ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վերանորոգում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Տրանսպորտային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Այլ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մեքենաներ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Աճեցվող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ակտիվներ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Նախագծահետազոտական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ծրագիրը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Հաստատված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սուբվենցիոն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proofErr w:type="gram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Հաստատված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սուբվենցիոն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նախատեված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եկամուտները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առանձնացնելով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վարչական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ֆոնդային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մասերը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իսկ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ֆոնդային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մասից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առանձին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բացվածքով</w:t>
            </w:r>
            <w:proofErr w:type="spellEnd"/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71455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միջնաժամակետ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բյուջետային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մուտքերի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ներառյալ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՝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ֆինանսական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համահարթեցման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դոտացիայի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գծով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մուտքերը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)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հաշվին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նշված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անհնարինության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հիմնավորումը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(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համապատասխան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հաշվարկներով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lastRenderedPageBreak/>
              <w:t> 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թվականի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բյուջեի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մուտքերի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հաշվին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սույն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ծրագրի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իրականացումը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հնարավոր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չէ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: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Այս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հանգամանքը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պայմանավորված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է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նրանով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,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որ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բյուջեի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ֆինանսական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միջոցները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գրեթե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ամբողջությամբ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ուղղվում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է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պարտադիր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խնդիրների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իրականացմանը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,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մասնավորապես</w:t>
            </w:r>
            <w:proofErr w:type="spellEnd"/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-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Վարչական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բյուջեի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պլանավորված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ծախսերը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Աշխատողների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աշխատավարձեր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հավելավճարներ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Էներգետիկ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Կոմունալ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Կապի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Ապահովագրական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Գույքի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սարքավորումների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վարձակալություն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Արտագերատեսչական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Ներքին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գործուղումներ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Արտասահմանյան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գործուղումների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գծով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Տեղակատվական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Ներկայացուցչական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Ընդհանուր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բնույթի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Մասնագիտական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Շենքերի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կառույցների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ընթացիկ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նորոգում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պահպանում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Մեքենաների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սարքավորումների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ընթացիկ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նորոգում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պահպանում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Գրասենյակային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հագուստ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Գյուղատնտեսական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ապրանքներ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Տրանսպորտային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Հատուկ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նպատակային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Ներքին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վարկերի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տոկոսավճարներ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Սուբսիդիաներ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ոչ-ֆինանսական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պետական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(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hամայնքային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)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Սուբսիդիաներ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պետական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(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hամայնքային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)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ֆինանսական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Կրթական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մշակութային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սպորտային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Բնակարանային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Նվիրատվություններ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շահույթ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չհետապնդող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Պարտադիր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ընդհանուր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այդ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թվում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շինարարական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օբյեկտների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նախագծման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` _________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նախագծանախահաշվային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փաստաթղթերի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պետական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փորձաքննության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հսկողության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հեղինակային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հսկողության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գոյություն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ունեցող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շենք-շինությունների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վիճակի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վերաբերյալ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փորձաքննության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2</w:t>
            </w:r>
            <w:r w:rsidR="00F5474B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06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F5474B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938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F5474B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930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(երկու հարյուր </w:t>
            </w:r>
            <w:r w:rsidR="00F5474B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վեց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ինն հարյուր </w:t>
            </w:r>
            <w:r w:rsidR="00F5474B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երեսունութ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հազար </w:t>
            </w:r>
            <w:r w:rsidR="00F5474B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ինն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</w:t>
            </w:r>
            <w:r w:rsidR="00F5474B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երեսուն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դրամ):  - 100%</w:t>
            </w: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500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 ՀՀ դրամ (հինգ հարյուր  հազար դրամ)</w:t>
            </w: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AD085D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032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89</w:t>
            </w:r>
            <w:r w:rsidR="00AE6C66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 w:rsidR="00323A93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երեք միլիոն երեսուներկու հազար ութ հարյուր </w:t>
            </w:r>
            <w:r w:rsidR="00323A93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 xml:space="preserve">իննսուներեք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AD085D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213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AD085D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15</w:t>
            </w:r>
            <w:r w:rsidR="00AE6C66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7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 w:rsidR="00323A93" w:rsidRPr="00323A9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միլիոն երկու հարյուր տասներեք հազար մեկ հարյուր հիսունյոթ 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71455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E877DA" w:rsidRDefault="0086794D" w:rsidP="0086794D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41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387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786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 w:rsidR="0062078B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քառասունմեկ միլիոն երեք հարյուր ութսունյոթ հազար յոթ հարյուր ութսունվեց 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դրամ )   (2</w:t>
            </w:r>
            <w:r w:rsidR="00414BB9" w:rsidRPr="0071455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ներդրողներ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E877DA" w:rsidRDefault="001E52FB" w:rsidP="00BB724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62,081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679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վաթսուներկու միլիոն ութսունմեկ հազար վեց հարյուր յոթանասունինը 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</w:t>
            </w:r>
            <w:proofErr w:type="gramStart"/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 )</w:t>
            </w:r>
            <w:proofErr w:type="gramEnd"/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 ՄԱԶԾ( 25%),  </w:t>
            </w:r>
            <w:r w:rsidR="00BB7245"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25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BB7245"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520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BB7245" w:rsidRPr="00E877DA">
              <w:rPr>
                <w:rFonts w:ascii="GHEA Grapalat" w:eastAsia="Times New Roman" w:hAnsi="GHEA Grapalat"/>
                <w:i/>
                <w:sz w:val="21"/>
                <w:szCs w:val="21"/>
              </w:rPr>
              <w:t>420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 (</w:t>
            </w:r>
            <w:r w:rsidR="00BB7245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քսանհինգ միլիոն հինգ հարյուր քսան հազար չորս հարյուր քսան </w:t>
            </w:r>
            <w:r w:rsidR="006748DC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 բազմաբնակարան շենքերի բնակիչների (5%)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տևողությունը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proofErr w:type="spellEnd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Տևողությունը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ծախսերը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E877DA" w:rsidRPr="00E877D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206,938,930 ՀՀ դրամ (երկու հարյուր վեց միլիոն ինն հարյուր երեսունութ հազար ինն հարյուր երեսուն դրամ)</w:t>
            </w:r>
            <w:r w:rsidR="00E877DA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B507CE" w:rsidP="00B507CE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6D6C7D" w:rsidRPr="00C53D11" w:rsidRDefault="006D6C7D" w:rsidP="006D6C7D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proofErr w:type="spellStart"/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>Համայնքի</w:t>
      </w:r>
      <w:proofErr w:type="spellEnd"/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</w:t>
      </w:r>
      <w:proofErr w:type="spellEnd"/>
      <w:r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bCs/>
          <w:sz w:val="20"/>
          <w:szCs w:val="20"/>
        </w:rPr>
        <w:t>օգնական</w:t>
      </w:r>
      <w:proofErr w:type="spellEnd"/>
      <w:r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bCs/>
          <w:sz w:val="20"/>
          <w:szCs w:val="20"/>
        </w:rPr>
        <w:t>Արման</w:t>
      </w:r>
      <w:proofErr w:type="spellEnd"/>
      <w:r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bCs/>
          <w:sz w:val="20"/>
          <w:szCs w:val="20"/>
        </w:rPr>
        <w:t>Շաբոյան</w:t>
      </w:r>
      <w:proofErr w:type="spellEnd"/>
    </w:p>
    <w:p w:rsidR="006D6C7D" w:rsidRPr="00237B68" w:rsidRDefault="006D6C7D" w:rsidP="006D6C7D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</w:t>
      </w:r>
      <w:proofErr w:type="spellEnd"/>
      <w:r w:rsidRPr="00237B68">
        <w:rPr>
          <w:rFonts w:ascii="GHEA Grapalat" w:eastAsia="Times New Roman" w:hAnsi="GHEA Grapalat"/>
          <w:b/>
          <w:bCs/>
          <w:sz w:val="18"/>
          <w:szCs w:val="18"/>
        </w:rPr>
        <w:t xml:space="preserve">, </w:t>
      </w: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էլեկտրոնային</w:t>
      </w:r>
      <w:proofErr w:type="spellEnd"/>
      <w:r w:rsidRPr="00237B68">
        <w:rPr>
          <w:rFonts w:ascii="GHEA Grapalat" w:eastAsia="Times New Roman" w:hAnsi="GHEA Grapalat"/>
          <w:b/>
          <w:bCs/>
          <w:sz w:val="18"/>
          <w:szCs w:val="18"/>
        </w:rPr>
        <w:t xml:space="preserve"> </w:t>
      </w: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փոստը</w:t>
      </w:r>
      <w:proofErr w:type="spellEnd"/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r w:rsidRPr="003B5A35">
        <w:rPr>
          <w:rFonts w:ascii="GHEA Grapalat" w:eastAsia="Times New Roman" w:hAnsi="GHEA Grapalat"/>
          <w:b/>
          <w:bCs/>
          <w:sz w:val="18"/>
          <w:szCs w:val="18"/>
        </w:rPr>
        <w:t>armanshaboyan13@gmail.com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45157" w:rsidRPr="00A92C99" w:rsidTr="004C2368">
        <w:trPr>
          <w:tblCellSpacing w:w="7" w:type="dxa"/>
          <w:jc w:val="center"/>
        </w:trPr>
        <w:tc>
          <w:tcPr>
            <w:tcW w:w="0" w:type="auto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</w:t>
            </w:r>
            <w:proofErr w:type="spellEnd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ղեկավար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proofErr w:type="spellStart"/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</w:t>
            </w:r>
            <w:proofErr w:type="spellEnd"/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 xml:space="preserve"> </w:t>
            </w:r>
            <w:proofErr w:type="spellStart"/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Սամսոնյան</w:t>
            </w:r>
            <w:proofErr w:type="spellEnd"/>
            <w:r w:rsidR="00855230"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անունը</w:t>
            </w:r>
            <w:proofErr w:type="spellEnd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ազգանունը</w:t>
            </w:r>
            <w:proofErr w:type="spellEnd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714553">
      <w:pgSz w:w="11906" w:h="16838" w:code="9"/>
      <w:pgMar w:top="851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57"/>
    <w:rsid w:val="00033248"/>
    <w:rsid w:val="0008454D"/>
    <w:rsid w:val="000E3C69"/>
    <w:rsid w:val="00111C6A"/>
    <w:rsid w:val="00141CE3"/>
    <w:rsid w:val="00182A3E"/>
    <w:rsid w:val="001B5FB8"/>
    <w:rsid w:val="001B7009"/>
    <w:rsid w:val="001E52FB"/>
    <w:rsid w:val="001F7FAC"/>
    <w:rsid w:val="00274066"/>
    <w:rsid w:val="002D1FA9"/>
    <w:rsid w:val="003128F4"/>
    <w:rsid w:val="00323A93"/>
    <w:rsid w:val="00376D19"/>
    <w:rsid w:val="003D2446"/>
    <w:rsid w:val="00414BB9"/>
    <w:rsid w:val="00422D2E"/>
    <w:rsid w:val="0042472C"/>
    <w:rsid w:val="00487535"/>
    <w:rsid w:val="004F243B"/>
    <w:rsid w:val="004F5397"/>
    <w:rsid w:val="00544592"/>
    <w:rsid w:val="00570495"/>
    <w:rsid w:val="00596C61"/>
    <w:rsid w:val="00596DEC"/>
    <w:rsid w:val="005D323C"/>
    <w:rsid w:val="005D7429"/>
    <w:rsid w:val="005E53EB"/>
    <w:rsid w:val="0062078B"/>
    <w:rsid w:val="006320DE"/>
    <w:rsid w:val="00673683"/>
    <w:rsid w:val="006748DC"/>
    <w:rsid w:val="00681490"/>
    <w:rsid w:val="006C40DB"/>
    <w:rsid w:val="006D6C7D"/>
    <w:rsid w:val="006D718F"/>
    <w:rsid w:val="006E1F4C"/>
    <w:rsid w:val="00702FF8"/>
    <w:rsid w:val="00714553"/>
    <w:rsid w:val="00757E7F"/>
    <w:rsid w:val="00767BF4"/>
    <w:rsid w:val="00773118"/>
    <w:rsid w:val="00774F46"/>
    <w:rsid w:val="007C7B81"/>
    <w:rsid w:val="007E134A"/>
    <w:rsid w:val="008168CF"/>
    <w:rsid w:val="00855230"/>
    <w:rsid w:val="0086794D"/>
    <w:rsid w:val="00891EA3"/>
    <w:rsid w:val="0090405C"/>
    <w:rsid w:val="00945157"/>
    <w:rsid w:val="00946EA2"/>
    <w:rsid w:val="0097233F"/>
    <w:rsid w:val="00985675"/>
    <w:rsid w:val="00A01EB4"/>
    <w:rsid w:val="00A1600A"/>
    <w:rsid w:val="00A30837"/>
    <w:rsid w:val="00A341DD"/>
    <w:rsid w:val="00A37DF3"/>
    <w:rsid w:val="00A90A96"/>
    <w:rsid w:val="00A92C99"/>
    <w:rsid w:val="00AC0107"/>
    <w:rsid w:val="00AD085D"/>
    <w:rsid w:val="00AE6C66"/>
    <w:rsid w:val="00B310CB"/>
    <w:rsid w:val="00B507CE"/>
    <w:rsid w:val="00B63D0D"/>
    <w:rsid w:val="00BB7245"/>
    <w:rsid w:val="00C53D11"/>
    <w:rsid w:val="00C96385"/>
    <w:rsid w:val="00CE4B84"/>
    <w:rsid w:val="00D32124"/>
    <w:rsid w:val="00DA55FE"/>
    <w:rsid w:val="00DC35D4"/>
    <w:rsid w:val="00DD43E3"/>
    <w:rsid w:val="00DF13CD"/>
    <w:rsid w:val="00E877DA"/>
    <w:rsid w:val="00E9623C"/>
    <w:rsid w:val="00E9635B"/>
    <w:rsid w:val="00EA5EA7"/>
    <w:rsid w:val="00EE3A64"/>
    <w:rsid w:val="00EE526B"/>
    <w:rsid w:val="00F4401A"/>
    <w:rsid w:val="00F5474B"/>
    <w:rsid w:val="00F711A8"/>
    <w:rsid w:val="00F9638C"/>
    <w:rsid w:val="00FD10D5"/>
    <w:rsid w:val="00FE637A"/>
    <w:rsid w:val="00FF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41DD"/>
    <w:rPr>
      <w:b/>
      <w:bCs/>
    </w:rPr>
  </w:style>
  <w:style w:type="paragraph" w:styleId="a4">
    <w:name w:val="Normal (Web)"/>
    <w:basedOn w:val="a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D10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3CCAF-2DC0-43AD-9B0C-81323874F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2129</Words>
  <Characters>12137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Admin</cp:lastModifiedBy>
  <cp:revision>3</cp:revision>
  <cp:lastPrinted>2022-07-11T13:39:00Z</cp:lastPrinted>
  <dcterms:created xsi:type="dcterms:W3CDTF">2022-11-25T13:15:00Z</dcterms:created>
  <dcterms:modified xsi:type="dcterms:W3CDTF">2022-11-25T13:15:00Z</dcterms:modified>
</cp:coreProperties>
</file>