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C1" w:rsidRDefault="00A11E9B" w:rsidP="00A11E9B">
      <w:pPr>
        <w:pStyle w:val="2"/>
        <w:spacing w:line="240" w:lineRule="auto"/>
        <w:ind w:left="1080"/>
        <w:contextualSpacing/>
        <w:jc w:val="right"/>
        <w:rPr>
          <w:rFonts w:ascii="Sylfaen" w:hAnsi="Sylfaen" w:cs="ArTarumianMatenagir"/>
          <w:color w:val="auto"/>
          <w:sz w:val="24"/>
          <w:szCs w:val="24"/>
          <w:lang w:val="af-ZA"/>
        </w:rPr>
      </w:pPr>
      <w:r w:rsidRPr="00A11E9B">
        <w:rPr>
          <w:rFonts w:ascii="Sylfaen" w:hAnsi="Sylfaen" w:cs="ArTarumianMatenagir"/>
          <w:color w:val="auto"/>
          <w:sz w:val="24"/>
          <w:szCs w:val="24"/>
          <w:lang w:val="af-ZA"/>
        </w:rPr>
        <w:t>Հավելված 3</w:t>
      </w:r>
    </w:p>
    <w:p w:rsidR="00FF75EB" w:rsidRDefault="00FF75EB" w:rsidP="00FF75E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Հայաստանի Հանրապետության</w:t>
      </w:r>
    </w:p>
    <w:p w:rsidR="00FF75EB" w:rsidRDefault="00FF75EB" w:rsidP="00FF75E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Շիրակի մարզի Գյումրի համայնքի </w:t>
      </w:r>
    </w:p>
    <w:p w:rsidR="00FF75EB" w:rsidRDefault="00FF75EB" w:rsidP="00FF75E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ավագանու 2022 թվականի</w:t>
      </w:r>
    </w:p>
    <w:p w:rsidR="00FF75EB" w:rsidRDefault="00FF75EB" w:rsidP="00FF75E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սեպտեմբերի </w:t>
      </w:r>
    </w:p>
    <w:p w:rsidR="00FF75EB" w:rsidRPr="0078165B" w:rsidRDefault="00FF75EB" w:rsidP="00FF75E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N                    որոշման</w:t>
      </w:r>
    </w:p>
    <w:p w:rsidR="00FF75EB" w:rsidRPr="00FF75EB" w:rsidRDefault="00FF75EB" w:rsidP="00FF75EB">
      <w:pPr>
        <w:rPr>
          <w:lang w:val="af-ZA"/>
        </w:rPr>
      </w:pPr>
    </w:p>
    <w:p w:rsidR="007E0CC1" w:rsidRPr="00A11E9B" w:rsidRDefault="007E0CC1" w:rsidP="007E0CC1">
      <w:pPr>
        <w:spacing w:line="240" w:lineRule="auto"/>
        <w:contextualSpacing/>
        <w:jc w:val="center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 w:cs="ArTarumianMatenagir"/>
          <w:b/>
          <w:bCs/>
          <w:i/>
          <w:sz w:val="24"/>
          <w:szCs w:val="24"/>
          <w:lang w:val="af-ZA"/>
        </w:rPr>
        <w:t>«</w:t>
      </w:r>
      <w:r w:rsidRPr="00BD4954">
        <w:rPr>
          <w:rFonts w:ascii="Sylfaen" w:hAnsi="Sylfaen"/>
          <w:lang w:val="hy-AM"/>
        </w:rPr>
        <w:t xml:space="preserve"> </w:t>
      </w:r>
      <w:r w:rsidRPr="00BD4954">
        <w:rPr>
          <w:rFonts w:ascii="Sylfaen" w:hAnsi="Sylfaen"/>
          <w:b/>
          <w:sz w:val="24"/>
          <w:szCs w:val="24"/>
          <w:lang w:val="hy-AM"/>
        </w:rPr>
        <w:t>Հավասար հնարավորություններ</w:t>
      </w:r>
      <w:r w:rsidR="00A11E9B">
        <w:rPr>
          <w:rFonts w:ascii="Sylfaen" w:hAnsi="Sylfaen"/>
          <w:b/>
          <w:sz w:val="24"/>
          <w:szCs w:val="24"/>
          <w:lang w:val="hy-AM"/>
        </w:rPr>
        <w:t>-</w:t>
      </w:r>
      <w:r w:rsidRPr="00BD4954">
        <w:rPr>
          <w:rFonts w:ascii="Sylfaen" w:hAnsi="Sylfaen"/>
          <w:b/>
          <w:sz w:val="24"/>
          <w:szCs w:val="24"/>
          <w:lang w:val="hy-AM"/>
        </w:rPr>
        <w:t>հասանելի հան</w:t>
      </w:r>
      <w:r w:rsidR="00A11E9B" w:rsidRPr="00A11E9B">
        <w:rPr>
          <w:rFonts w:ascii="Sylfaen" w:hAnsi="Sylfaen"/>
          <w:b/>
          <w:sz w:val="24"/>
          <w:szCs w:val="24"/>
          <w:lang w:val="hy-AM"/>
        </w:rPr>
        <w:t>ր</w:t>
      </w:r>
      <w:r w:rsidR="00A11E9B">
        <w:rPr>
          <w:rFonts w:ascii="Sylfaen" w:hAnsi="Sylfaen"/>
          <w:b/>
          <w:sz w:val="24"/>
          <w:szCs w:val="24"/>
          <w:lang w:val="hy-AM"/>
        </w:rPr>
        <w:t>ա</w:t>
      </w:r>
      <w:r w:rsidRPr="00BD4954">
        <w:rPr>
          <w:rFonts w:ascii="Sylfaen" w:hAnsi="Sylfaen"/>
          <w:b/>
          <w:sz w:val="24"/>
          <w:szCs w:val="24"/>
          <w:lang w:val="hy-AM"/>
        </w:rPr>
        <w:t>յին տրանսպորտ</w:t>
      </w:r>
      <w:r w:rsidR="00A11E9B" w:rsidRPr="00A11E9B">
        <w:rPr>
          <w:rFonts w:ascii="Sylfaen" w:hAnsi="Sylfaen"/>
          <w:b/>
          <w:sz w:val="24"/>
          <w:szCs w:val="24"/>
          <w:lang w:val="hy-AM"/>
        </w:rPr>
        <w:t>»</w:t>
      </w:r>
    </w:p>
    <w:p w:rsidR="007E0CC1" w:rsidRPr="00BD4954" w:rsidRDefault="007E0CC1" w:rsidP="007E0CC1">
      <w:pPr>
        <w:spacing w:line="240" w:lineRule="auto"/>
        <w:contextualSpacing/>
        <w:jc w:val="center"/>
        <w:rPr>
          <w:rFonts w:ascii="Sylfaen" w:hAnsi="Sylfaen"/>
          <w:vertAlign w:val="superscript"/>
          <w:lang w:val="af-ZA"/>
        </w:rPr>
      </w:pPr>
      <w:r w:rsidRPr="00BD4954">
        <w:rPr>
          <w:rFonts w:ascii="Sylfaen" w:hAnsi="Sylfaen"/>
          <w:vertAlign w:val="superscript"/>
          <w:lang w:val="af-ZA"/>
        </w:rPr>
        <w:t>(Ծրագրի</w:t>
      </w:r>
      <w:r w:rsidRPr="00BD4954">
        <w:rPr>
          <w:rFonts w:ascii="Sylfaen" w:hAnsi="Sylfaen"/>
          <w:b/>
          <w:vertAlign w:val="superscript"/>
          <w:lang w:val="af-ZA"/>
        </w:rPr>
        <w:t xml:space="preserve"> </w:t>
      </w:r>
      <w:r w:rsidRPr="00BD4954">
        <w:rPr>
          <w:rFonts w:ascii="Sylfaen" w:hAnsi="Sylfaen"/>
          <w:vertAlign w:val="superscript"/>
          <w:lang w:val="af-ZA"/>
        </w:rPr>
        <w:t>անվանում)</w:t>
      </w:r>
      <w:r w:rsidRPr="00BD4954">
        <w:rPr>
          <w:rFonts w:ascii="Sylfaen" w:hAnsi="Sylfaen" w:cs="ArTarumianMatenagir"/>
          <w:bCs/>
          <w:lang w:val="af-ZA"/>
        </w:rPr>
        <w:t xml:space="preserve"> </w:t>
      </w:r>
    </w:p>
    <w:p w:rsidR="007E0CC1" w:rsidRPr="00BD4954" w:rsidRDefault="007E0CC1" w:rsidP="007E0CC1">
      <w:pPr>
        <w:spacing w:line="240" w:lineRule="auto"/>
        <w:contextualSpacing/>
        <w:jc w:val="center"/>
        <w:rPr>
          <w:rFonts w:ascii="Sylfaen" w:hAnsi="Sylfaen"/>
          <w:sz w:val="24"/>
          <w:szCs w:val="24"/>
          <w:lang w:val="af-ZA"/>
        </w:rPr>
      </w:pPr>
    </w:p>
    <w:tbl>
      <w:tblPr>
        <w:tblW w:w="104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4"/>
        <w:gridCol w:w="550"/>
        <w:gridCol w:w="1693"/>
        <w:gridCol w:w="1695"/>
        <w:gridCol w:w="805"/>
        <w:gridCol w:w="805"/>
        <w:gridCol w:w="811"/>
        <w:gridCol w:w="811"/>
        <w:gridCol w:w="811"/>
      </w:tblGrid>
      <w:tr w:rsidR="007E0CC1" w:rsidRPr="00A11E9B" w:rsidTr="0086490E">
        <w:tc>
          <w:tcPr>
            <w:tcW w:w="2454" w:type="dxa"/>
            <w:tcBorders>
              <w:right w:val="nil"/>
            </w:tcBorders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Պարտադիր խնդիր, որի լուծմանն է միտված ծրագիրը</w:t>
            </w:r>
          </w:p>
        </w:tc>
        <w:tc>
          <w:tcPr>
            <w:tcW w:w="550" w:type="dxa"/>
            <w:tcBorders>
              <w:right w:val="nil"/>
            </w:tcBorders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431" w:type="dxa"/>
            <w:gridSpan w:val="7"/>
            <w:tcBorders>
              <w:left w:val="nil"/>
            </w:tcBorders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Հ</w:t>
            </w: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ամայնքի բնակչության սոցիալական պաշտպանությունը</w:t>
            </w:r>
          </w:p>
        </w:tc>
      </w:tr>
      <w:tr w:rsidR="007E0CC1" w:rsidRPr="009C6A56" w:rsidTr="0086490E">
        <w:tc>
          <w:tcPr>
            <w:tcW w:w="2454" w:type="dxa"/>
            <w:vMerge w:val="restart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Ծրագրի անմիջական նպատակ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rPr>
                <w:rFonts w:ascii="Sylfaen" w:hAnsi="Sylfaen"/>
                <w:szCs w:val="24"/>
                <w:lang w:val="hy-AM"/>
              </w:rPr>
            </w:pPr>
            <w:r w:rsidRPr="00A11E9B">
              <w:rPr>
                <w:rFonts w:ascii="Sylfaen" w:hAnsi="Sylfaen"/>
                <w:szCs w:val="24"/>
                <w:lang w:val="hy-AM"/>
              </w:rPr>
              <w:t>Նպաստել  հաշմանդամություն ունեցող անձանց համար  ճանապարհային երթևեկության հասանելիության ապահովմանը՝  հետիոտների անցումային հատվածներում տեղադրել</w:t>
            </w:r>
            <w:proofErr w:type="spellStart"/>
            <w:r w:rsidR="00A11E9B">
              <w:rPr>
                <w:rFonts w:ascii="Sylfaen" w:hAnsi="Sylfaen"/>
                <w:szCs w:val="24"/>
              </w:rPr>
              <w:t>ով</w:t>
            </w:r>
            <w:proofErr w:type="spellEnd"/>
            <w:r w:rsidR="00A11E9B" w:rsidRPr="00A11E9B">
              <w:rPr>
                <w:rFonts w:ascii="Sylfaen" w:hAnsi="Sylfaen"/>
                <w:szCs w:val="24"/>
                <w:lang w:val="af-ZA"/>
              </w:rPr>
              <w:t xml:space="preserve"> </w:t>
            </w:r>
            <w:r w:rsidRPr="00A11E9B">
              <w:rPr>
                <w:rFonts w:ascii="Sylfaen" w:hAnsi="Sylfaen"/>
                <w:szCs w:val="24"/>
                <w:lang w:val="hy-AM"/>
              </w:rPr>
              <w:t xml:space="preserve"> հատուկ հարմարեցված ձայնային ազդանշաններով լուսակիրներ, տրանսպորտում </w:t>
            </w:r>
            <w:r w:rsidR="00A11E9B">
              <w:rPr>
                <w:rFonts w:ascii="Sylfaen" w:hAnsi="Sylfaen"/>
                <w:szCs w:val="24"/>
                <w:lang w:val="hy-AM"/>
              </w:rPr>
              <w:t>տեղադր</w:t>
            </w:r>
            <w:proofErr w:type="spellStart"/>
            <w:r w:rsidR="00A11E9B">
              <w:rPr>
                <w:rFonts w:ascii="Sylfaen" w:hAnsi="Sylfaen"/>
                <w:szCs w:val="24"/>
              </w:rPr>
              <w:t>ելով</w:t>
            </w:r>
            <w:proofErr w:type="spellEnd"/>
            <w:r w:rsidRPr="00A11E9B">
              <w:rPr>
                <w:rFonts w:ascii="Sylfaen" w:hAnsi="Sylfaen"/>
                <w:szCs w:val="24"/>
                <w:lang w:val="hy-AM"/>
              </w:rPr>
              <w:t xml:space="preserve"> հատուկ ձայնային և տեսողական սարքավորումներ։ 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 w:val="restart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Ծառայությունից օգտվող շահառուների թիվ</w:t>
            </w: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043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1200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6000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6000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6000</w:t>
            </w:r>
          </w:p>
        </w:tc>
      </w:tr>
      <w:tr w:rsidR="007E0CC1" w:rsidRPr="009C6A56" w:rsidTr="0086490E">
        <w:tc>
          <w:tcPr>
            <w:tcW w:w="2454" w:type="dxa"/>
            <w:vMerge w:val="restart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Ծրագրի միջանկյալ արդյունքներ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Հաշմանդամություն ունեցող անձանց կարիքներին հարմարեցված տրանսպորտային միջոցներ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 w:val="restart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7E0CC1" w:rsidRPr="00A11E9B" w:rsidRDefault="007E0CC1" w:rsidP="00A11E9B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Cs w:val="24"/>
                <w:lang w:val="hy-AM"/>
              </w:rPr>
              <w:t>Ձայնային ազդանշաններով լուսակիրներ, տրանսպորտում տեղադրվող հատուկ ձայնային և տես</w:t>
            </w:r>
            <w:r w:rsidR="00A11E9B">
              <w:rPr>
                <w:rFonts w:ascii="Sylfaen" w:hAnsi="Sylfaen"/>
                <w:szCs w:val="24"/>
              </w:rPr>
              <w:t>ո</w:t>
            </w:r>
            <w:r w:rsidRPr="00A11E9B">
              <w:rPr>
                <w:rFonts w:ascii="Sylfaen" w:hAnsi="Sylfaen"/>
                <w:szCs w:val="24"/>
                <w:lang w:val="hy-AM"/>
              </w:rPr>
              <w:t xml:space="preserve">ղական սարքավորումների քանակ </w:t>
            </w: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043" w:type="dxa"/>
            <w:gridSpan w:val="5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10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20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</w:tr>
      <w:tr w:rsidR="007E0CC1" w:rsidRPr="009C6A56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Հաշմանդամություն ունեցող անձանց կարիքներին հարմարեցված անցումներ և կանգառներ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 w:val="restart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Խմբերի թիվը</w:t>
            </w: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043" w:type="dxa"/>
            <w:gridSpan w:val="5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7E0CC1" w:rsidRPr="00A11E9B" w:rsidTr="0086490E">
        <w:tc>
          <w:tcPr>
            <w:tcW w:w="2454" w:type="dxa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10</w:t>
            </w:r>
          </w:p>
        </w:tc>
        <w:tc>
          <w:tcPr>
            <w:tcW w:w="805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20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811" w:type="dxa"/>
            <w:shd w:val="clear" w:color="auto" w:fill="auto"/>
          </w:tcPr>
          <w:p w:rsidR="007E0CC1" w:rsidRPr="00A11E9B" w:rsidRDefault="007E0CC1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</w:tr>
      <w:tr w:rsidR="007E0CC1" w:rsidRPr="009C6A56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 xml:space="preserve">Ծրագրի հիմնական </w:t>
            </w: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գործողությունները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A11E9B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lastRenderedPageBreak/>
              <w:t>Ձայնային, տեսո</w:t>
            </w:r>
            <w:r w:rsidR="007E0CC1"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ղական  համապատասխան սարքավորումների </w:t>
            </w:r>
            <w:r w:rsidR="007E0CC1"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lastRenderedPageBreak/>
              <w:t xml:space="preserve">ձեռքբերում և տեղադրում հանրային </w:t>
            </w: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տրանսպորտում</w:t>
            </w:r>
          </w:p>
          <w:p w:rsidR="007E0CC1" w:rsidRPr="00A11E9B" w:rsidRDefault="007E0CC1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Հաշմանդամություն ունեցող անձանց  իրազեկ</w:t>
            </w:r>
            <w:r w:rsid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վածո</w:t>
            </w: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ւթյան բարձրացում</w:t>
            </w:r>
            <w:r w:rsid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՝</w:t>
            </w: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հանրային տ</w:t>
            </w:r>
            <w:r w:rsid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րանսպորտի հասանելիության և դրան</w:t>
            </w: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ից օգ</w:t>
            </w:r>
            <w:r w:rsid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տվելու կանոնների վերաբերյալ</w:t>
            </w:r>
          </w:p>
          <w:p w:rsidR="007E0CC1" w:rsidRPr="00A11E9B" w:rsidRDefault="007E0CC1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Բանուկ  և գլխավոր  փողոցների խաչմերուկներում  տեղադրել ձայնային լուսացույցներ</w:t>
            </w:r>
          </w:p>
          <w:p w:rsidR="007E0CC1" w:rsidRPr="00A11E9B" w:rsidRDefault="00A11E9B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Հ</w:t>
            </w:r>
            <w:r w:rsidR="007E0CC1"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ատուկ կարիքներ ունեցող մարդկանց համար</w:t>
            </w: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կ</w:t>
            </w:r>
            <w:r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իրառել  ճկուն զեղչային համակարգ  </w:t>
            </w:r>
            <w:r w:rsidR="007E0CC1" w:rsidRPr="00A11E9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հանրային տրանսպորտից  օգտվել</w:t>
            </w: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իս</w:t>
            </w:r>
          </w:p>
        </w:tc>
      </w:tr>
      <w:tr w:rsidR="007E0CC1" w:rsidRPr="00A11E9B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Ծրագրի բյուջեն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eastAsia="Times New Roman" w:hAnsi="Sylfaen"/>
                <w:color w:val="000000"/>
                <w:lang w:val="hy-AM" w:eastAsia="ru-RU"/>
              </w:rPr>
              <w:t>8</w:t>
            </w:r>
            <w:r w:rsidR="00A11E9B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մլն </w:t>
            </w:r>
            <w:r w:rsidRPr="00A11E9B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դրամ</w:t>
            </w:r>
          </w:p>
        </w:tc>
      </w:tr>
      <w:tr w:rsidR="007E0CC1" w:rsidRPr="00A11E9B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Ծրագրի իրականացման համար անհրաժեշտ այլ ռեսուրսներ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A11E9B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color w:val="000000"/>
                <w:lang w:val="af-ZA" w:eastAsia="ru-RU"/>
              </w:rPr>
              <w:t>Ձայնային, տեսո</w:t>
            </w:r>
            <w:r w:rsidR="007E0CC1" w:rsidRPr="00A11E9B">
              <w:rPr>
                <w:rFonts w:ascii="Sylfaen" w:eastAsia="Times New Roman" w:hAnsi="Sylfaen"/>
                <w:color w:val="000000"/>
                <w:lang w:val="af-ZA" w:eastAsia="ru-RU"/>
              </w:rPr>
              <w:t>ղական  համապատասխան սարքավորումներ</w:t>
            </w:r>
          </w:p>
        </w:tc>
      </w:tr>
      <w:tr w:rsidR="007E0CC1" w:rsidRPr="009C6A56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Ծրագրի հիմնական ռիսկերը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A11E9B">
              <w:rPr>
                <w:rFonts w:ascii="Sylfaen" w:hAnsi="Sylfaen"/>
                <w:szCs w:val="24"/>
                <w:lang w:val="hy-AM"/>
              </w:rPr>
              <w:t xml:space="preserve">Ծառայությունների մատուցում մասնավոր ընկերությունների կողմից </w:t>
            </w:r>
          </w:p>
        </w:tc>
      </w:tr>
      <w:tr w:rsidR="007E0CC1" w:rsidRPr="00A11E9B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 xml:space="preserve">Ծրագրի հիմնական շահառուները 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Cs w:val="24"/>
                <w:lang w:val="hy-AM"/>
              </w:rPr>
              <w:t>Հաշմանդամություն ունեցող անձինք</w:t>
            </w:r>
          </w:p>
        </w:tc>
      </w:tr>
      <w:tr w:rsidR="007E0CC1" w:rsidRPr="00A11E9B" w:rsidTr="0086490E"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 xml:space="preserve">Ծրագրի սկիզբ և ավարտ 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A11E9B">
              <w:rPr>
                <w:rFonts w:ascii="Sylfaen" w:hAnsi="Sylfaen"/>
                <w:szCs w:val="24"/>
                <w:lang w:val="hy-AM"/>
              </w:rPr>
              <w:t>2021-2026</w:t>
            </w:r>
          </w:p>
        </w:tc>
      </w:tr>
      <w:tr w:rsidR="007E0CC1" w:rsidRPr="00FF75EB" w:rsidTr="0086490E">
        <w:trPr>
          <w:trHeight w:val="1974"/>
        </w:trPr>
        <w:tc>
          <w:tcPr>
            <w:tcW w:w="2454" w:type="dxa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sz w:val="24"/>
                <w:szCs w:val="24"/>
                <w:lang w:val="af-ZA"/>
              </w:rPr>
              <w:t>Ծրագրի համառոտ նկարագրություն</w:t>
            </w:r>
          </w:p>
        </w:tc>
        <w:tc>
          <w:tcPr>
            <w:tcW w:w="7981" w:type="dxa"/>
            <w:gridSpan w:val="8"/>
            <w:shd w:val="clear" w:color="auto" w:fill="auto"/>
          </w:tcPr>
          <w:p w:rsidR="007E0CC1" w:rsidRPr="00A11E9B" w:rsidRDefault="007E0CC1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A11E9B">
              <w:rPr>
                <w:rFonts w:ascii="Sylfaen" w:hAnsi="Sylfaen"/>
                <w:bCs/>
                <w:lang w:val="hy-AM"/>
              </w:rPr>
              <w:t xml:space="preserve">Շիրակի մարզում ապրում է 18 934 հաշմանդամություն ունեցող մարդ, որոնց թվում են հենաշարժողական համակարգի խնդիրներով, տեսողական և լսողական խնդիրներով </w:t>
            </w:r>
            <w:proofErr w:type="spellStart"/>
            <w:r w:rsidR="00A11E9B">
              <w:rPr>
                <w:rFonts w:ascii="Sylfaen" w:hAnsi="Sylfaen"/>
                <w:bCs/>
              </w:rPr>
              <w:t>անձինք</w:t>
            </w:r>
            <w:proofErr w:type="spellEnd"/>
            <w:r w:rsidRPr="00A11E9B">
              <w:rPr>
                <w:rFonts w:ascii="Sylfaen" w:hAnsi="Sylfaen"/>
                <w:bCs/>
                <w:lang w:val="hy-AM"/>
              </w:rPr>
              <w:t xml:space="preserve">: </w:t>
            </w:r>
          </w:p>
          <w:p w:rsidR="007E0CC1" w:rsidRPr="00A11E9B" w:rsidRDefault="00A11E9B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A11E9B">
              <w:rPr>
                <w:rFonts w:ascii="Sylfaen" w:hAnsi="Sylfaen"/>
                <w:bCs/>
                <w:lang w:val="hy-AM"/>
              </w:rPr>
              <w:t xml:space="preserve">Նրանք </w:t>
            </w:r>
            <w:r w:rsidR="007E0CC1" w:rsidRPr="00A11E9B">
              <w:rPr>
                <w:rFonts w:ascii="Sylfaen" w:hAnsi="Sylfaen"/>
                <w:bCs/>
                <w:lang w:val="hy-AM"/>
              </w:rPr>
              <w:t xml:space="preserve"> չեն կարողանում  համայնքում տեղաշարժվել, օգտվել հանրային տրանսպորտից</w:t>
            </w:r>
            <w:r w:rsidRPr="00A11E9B">
              <w:rPr>
                <w:rFonts w:ascii="Sylfaen" w:hAnsi="Sylfaen"/>
                <w:bCs/>
                <w:lang w:val="hy-AM"/>
              </w:rPr>
              <w:t xml:space="preserve">, </w:t>
            </w:r>
            <w:r w:rsidR="007E0CC1" w:rsidRPr="00A11E9B">
              <w:rPr>
                <w:rFonts w:ascii="Sylfaen" w:hAnsi="Sylfaen"/>
                <w:bCs/>
                <w:lang w:val="hy-AM"/>
              </w:rPr>
              <w:t xml:space="preserve">քանի որ վերջիններս հարմարեցված չեն: </w:t>
            </w:r>
          </w:p>
          <w:p w:rsidR="007E0CC1" w:rsidRPr="00A11E9B" w:rsidRDefault="007E0CC1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A11E9B">
              <w:rPr>
                <w:rFonts w:ascii="Sylfaen" w:hAnsi="Sylfaen"/>
                <w:bCs/>
                <w:lang w:val="hy-AM"/>
              </w:rPr>
              <w:t>Աստիճանաբար մեկուսանում են, փակվում են տներում։</w:t>
            </w:r>
          </w:p>
          <w:p w:rsidR="007E0CC1" w:rsidRPr="00A11E9B" w:rsidRDefault="007E0CC1" w:rsidP="00A11E9B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A11E9B">
              <w:rPr>
                <w:rFonts w:ascii="Sylfaen" w:hAnsi="Sylfaen"/>
                <w:bCs/>
                <w:lang w:val="hy-AM"/>
              </w:rPr>
              <w:t>Ծրագրի շրջանակում նախատեսվում է հարմարեցնել թե</w:t>
            </w:r>
            <w:r w:rsidR="00A11E9B" w:rsidRPr="00A11E9B">
              <w:rPr>
                <w:rFonts w:ascii="Sylfaen" w:hAnsi="Sylfaen"/>
                <w:bCs/>
                <w:lang w:val="hy-AM"/>
              </w:rPr>
              <w:t>՛</w:t>
            </w:r>
            <w:r w:rsidRPr="00A11E9B">
              <w:rPr>
                <w:rFonts w:ascii="Sylfaen" w:hAnsi="Sylfaen"/>
                <w:bCs/>
                <w:lang w:val="hy-AM"/>
              </w:rPr>
              <w:t xml:space="preserve"> տրանսպորտային միջոցները</w:t>
            </w:r>
            <w:r w:rsidR="00A11E9B" w:rsidRPr="00A11E9B">
              <w:rPr>
                <w:rFonts w:ascii="Sylfaen" w:hAnsi="Sylfaen"/>
                <w:bCs/>
                <w:lang w:val="hy-AM"/>
              </w:rPr>
              <w:t>,</w:t>
            </w:r>
            <w:r w:rsidRPr="00A11E9B">
              <w:rPr>
                <w:rFonts w:ascii="Sylfaen" w:hAnsi="Sylfaen"/>
                <w:bCs/>
                <w:lang w:val="hy-AM"/>
              </w:rPr>
              <w:t xml:space="preserve"> թե</w:t>
            </w:r>
            <w:r w:rsidR="00A11E9B" w:rsidRPr="00A11E9B">
              <w:rPr>
                <w:rFonts w:ascii="Sylfaen" w:hAnsi="Sylfaen"/>
                <w:bCs/>
                <w:lang w:val="hy-AM"/>
              </w:rPr>
              <w:t>՛</w:t>
            </w:r>
            <w:r w:rsidRPr="00A11E9B">
              <w:rPr>
                <w:rFonts w:ascii="Sylfaen" w:hAnsi="Sylfaen"/>
                <w:bCs/>
                <w:lang w:val="hy-AM"/>
              </w:rPr>
              <w:t xml:space="preserve"> անցումները և կանգառները՝ </w:t>
            </w:r>
            <w:r w:rsidR="00A11E9B" w:rsidRPr="00A11E9B">
              <w:rPr>
                <w:rFonts w:ascii="Sylfaen" w:hAnsi="Sylfaen"/>
                <w:bCs/>
                <w:lang w:val="hy-AM"/>
              </w:rPr>
              <w:t xml:space="preserve"> </w:t>
            </w:r>
            <w:r w:rsidRPr="00A11E9B">
              <w:rPr>
                <w:rFonts w:ascii="Sylfaen" w:hAnsi="Sylfaen"/>
                <w:bCs/>
                <w:lang w:val="hy-AM"/>
              </w:rPr>
              <w:t>հնարավորինս մատչելի դարձնելով դրանք հատուկ կարիքներ ունեցող անձանց համար։ Մասնավորապես</w:t>
            </w:r>
            <w:r w:rsidR="00A11E9B" w:rsidRPr="00A11E9B">
              <w:rPr>
                <w:rFonts w:ascii="Sylfaen" w:hAnsi="Sylfaen"/>
                <w:bCs/>
                <w:lang w:val="hy-AM"/>
              </w:rPr>
              <w:t>՝</w:t>
            </w:r>
            <w:r w:rsidRPr="00A11E9B">
              <w:rPr>
                <w:rFonts w:ascii="Sylfaen" w:hAnsi="Sylfaen"/>
                <w:bCs/>
                <w:lang w:val="hy-AM"/>
              </w:rPr>
              <w:t xml:space="preserve"> նախատեսվում է անցումները կահավորե</w:t>
            </w:r>
            <w:r w:rsidR="00A11E9B" w:rsidRPr="00A11E9B">
              <w:rPr>
                <w:rFonts w:ascii="Sylfaen" w:hAnsi="Sylfaen"/>
                <w:bCs/>
                <w:lang w:val="hy-AM"/>
              </w:rPr>
              <w:t xml:space="preserve">լ </w:t>
            </w:r>
            <w:r w:rsidRPr="00A11E9B">
              <w:rPr>
                <w:rFonts w:ascii="Sylfaen" w:hAnsi="Sylfaen"/>
                <w:bCs/>
                <w:lang w:val="hy-AM"/>
              </w:rPr>
              <w:t xml:space="preserve"> ձայնային ազդանշաններով, ինչը հնարավորություն կտա տեսողական խնդիրներ ունեցող անձանց հեշտ կողմնորոշվել և անվտանգ անցնել ճանապարհը։</w:t>
            </w:r>
          </w:p>
        </w:tc>
      </w:tr>
    </w:tbl>
    <w:p w:rsidR="007E0CC1" w:rsidRPr="00A11E9B" w:rsidRDefault="007E0CC1" w:rsidP="007E0CC1">
      <w:pPr>
        <w:rPr>
          <w:rFonts w:ascii="Sylfaen" w:hAnsi="Sylfaen"/>
          <w:sz w:val="24"/>
          <w:szCs w:val="24"/>
          <w:lang w:val="hy-AM"/>
        </w:rPr>
      </w:pPr>
    </w:p>
    <w:p w:rsidR="007E0CC1" w:rsidRPr="00A11E9B" w:rsidRDefault="007E0CC1" w:rsidP="007E0CC1">
      <w:pPr>
        <w:rPr>
          <w:rFonts w:ascii="Sylfaen" w:hAnsi="Sylfaen"/>
          <w:sz w:val="24"/>
          <w:szCs w:val="24"/>
          <w:lang w:val="hy-AM"/>
        </w:rPr>
      </w:pPr>
    </w:p>
    <w:sectPr w:rsidR="007E0CC1" w:rsidRPr="00A11E9B" w:rsidSect="00E002C3">
      <w:pgSz w:w="12240" w:h="15840"/>
      <w:pgMar w:top="426" w:right="9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Matenagir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B7A8F"/>
    <w:multiLevelType w:val="hybridMultilevel"/>
    <w:tmpl w:val="F5660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E7170"/>
    <w:multiLevelType w:val="hybridMultilevel"/>
    <w:tmpl w:val="26F017C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A4E1DDB"/>
    <w:multiLevelType w:val="hybridMultilevel"/>
    <w:tmpl w:val="F1F00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CC1"/>
    <w:rsid w:val="000138A9"/>
    <w:rsid w:val="003819B3"/>
    <w:rsid w:val="004A462B"/>
    <w:rsid w:val="00516DE8"/>
    <w:rsid w:val="007E0CC1"/>
    <w:rsid w:val="009C6A56"/>
    <w:rsid w:val="00A11E9B"/>
    <w:rsid w:val="00D40511"/>
    <w:rsid w:val="00FF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C1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E0CC1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0C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34"/>
    <w:qFormat/>
    <w:rsid w:val="007E0CC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34"/>
    <w:rsid w:val="007E0CC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2022-09-07T13:54:00Z</dcterms:created>
  <dcterms:modified xsi:type="dcterms:W3CDTF">2022-09-07T13:54:00Z</dcterms:modified>
</cp:coreProperties>
</file>