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B4089C">
        <w:rPr>
          <w:rFonts w:ascii="GHEA Grapalat" w:hAnsi="GHEA Grapalat"/>
          <w:b/>
        </w:rPr>
        <w:t xml:space="preserve">ՂԵԿԱՎԱՐԻ ՏԵՂԱԿԱԼԻ ՊԱՇՏՈՆԻՆ ՀԱՅԿ ԳԱՐԵԳԻՆԻ ՍՈՒԼԹԱՆՅԱՆԻՆ ՆՇԱՆԱԿԵԼՈՒ </w:t>
      </w:r>
      <w:r>
        <w:rPr>
          <w:rFonts w:ascii="GHEA Grapalat" w:hAnsi="GHEA Grapalat"/>
          <w:b/>
          <w:lang w:val="hy-AM"/>
        </w:rPr>
        <w:t xml:space="preserve">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</w:t>
      </w:r>
      <w:r w:rsidR="00B4089C">
        <w:rPr>
          <w:rFonts w:ascii="GHEA Grapalat" w:hAnsi="GHEA Grapalat"/>
          <w:lang w:val="hy-AM"/>
        </w:rPr>
        <w:t xml:space="preserve"> </w:t>
      </w:r>
      <w:r w:rsidR="00B4089C" w:rsidRPr="00B4089C">
        <w:rPr>
          <w:rFonts w:ascii="GHEA Grapalat" w:hAnsi="GHEA Grapalat"/>
          <w:lang w:val="hy-AM"/>
        </w:rPr>
        <w:t>57</w:t>
      </w:r>
      <w:r>
        <w:rPr>
          <w:rFonts w:ascii="GHEA Grapalat" w:hAnsi="GHEA Grapalat"/>
          <w:lang w:val="hy-AM"/>
        </w:rPr>
        <w:t>-րդ հոդվածի</w:t>
      </w:r>
      <w:r w:rsidR="00B4089C">
        <w:rPr>
          <w:rFonts w:ascii="GHEA Grapalat" w:hAnsi="GHEA Grapalat"/>
          <w:lang w:val="hy-AM"/>
        </w:rPr>
        <w:t xml:space="preserve"> 3</w:t>
      </w:r>
      <w:r>
        <w:rPr>
          <w:rFonts w:ascii="GHEA Grapalat" w:hAnsi="GHEA Grapalat"/>
          <w:lang w:val="hy-AM"/>
        </w:rPr>
        <w:t xml:space="preserve">-րդ </w:t>
      </w:r>
      <w:r w:rsidR="00461769">
        <w:rPr>
          <w:rFonts w:ascii="GHEA Grapalat" w:hAnsi="GHEA Grapalat"/>
        </w:rPr>
        <w:t>մաս</w:t>
      </w:r>
      <w:r>
        <w:rPr>
          <w:rFonts w:ascii="GHEA Grapalat" w:hAnsi="GHEA Grapalat"/>
          <w:lang w:val="hy-AM"/>
        </w:rPr>
        <w:t xml:space="preserve">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Pr="00B4089C" w:rsidRDefault="001A3D93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B4089C">
        <w:rPr>
          <w:rFonts w:ascii="GHEA Grapalat" w:hAnsi="GHEA Grapalat"/>
          <w:lang w:val="hy-AM"/>
        </w:rPr>
        <w:t xml:space="preserve"> </w:t>
      </w:r>
      <w:r w:rsidR="00E8169D" w:rsidRPr="00B4089C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B4089C">
        <w:rPr>
          <w:rFonts w:ascii="GHEA Grapalat" w:hAnsi="GHEA Grapalat"/>
          <w:lang w:val="hy-AM"/>
        </w:rPr>
        <w:t xml:space="preserve">Գյումրի համայնքի </w:t>
      </w:r>
      <w:r w:rsidR="00B4089C" w:rsidRPr="00B4089C">
        <w:rPr>
          <w:rFonts w:ascii="GHEA Grapalat" w:hAnsi="GHEA Grapalat"/>
          <w:lang w:val="hy-AM"/>
        </w:rPr>
        <w:t>ղեկավարի տեղակալ նշանակել Հայկ Գարեգինի Սուլթանյանին</w:t>
      </w:r>
    </w:p>
    <w:p w:rsidR="00B4089C" w:rsidRPr="00B4089C" w:rsidRDefault="00B4089C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B4089C"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B4089C" w:rsidRPr="00B4089C" w:rsidRDefault="00B4089C" w:rsidP="001A3D93">
      <w:pPr>
        <w:ind w:left="426" w:hanging="426"/>
        <w:jc w:val="both"/>
        <w:rPr>
          <w:rFonts w:ascii="GHEA Grapalat" w:hAnsi="GHEA Grapalat"/>
          <w:lang w:val="hy-AM"/>
        </w:rPr>
      </w:pP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Pr="00B4089C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 w:rsidR="00B4089C" w:rsidRPr="00B4089C">
        <w:rPr>
          <w:rFonts w:ascii="GHEA Grapalat" w:hAnsi="GHEA Grapalat"/>
          <w:b/>
          <w:lang w:val="hy-AM"/>
        </w:rPr>
        <w:t>Ս. Բ</w:t>
      </w:r>
      <w:r w:rsidR="00B4089C" w:rsidRPr="00461769">
        <w:rPr>
          <w:rFonts w:ascii="GHEA Grapalat" w:hAnsi="GHEA Grapalat"/>
          <w:b/>
          <w:lang w:val="hy-AM"/>
        </w:rPr>
        <w:t>ԱԼԱՍԱՆՅԱՆ</w:t>
      </w:r>
      <w:r w:rsidRPr="00B4089C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4089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B4089C" w:rsidRPr="00B4089C">
        <w:rPr>
          <w:rFonts w:ascii="GHEA Grapalat" w:hAnsi="GHEA Grapalat"/>
          <w:b/>
          <w:lang w:val="hy-AM"/>
        </w:rPr>
        <w:t xml:space="preserve">ՂԵԿԱՎԱՐԻ ՏԵՂԱԿԱԼԻ ՊԱՇՏՈՆԻՆ ՀԱՅԿ ԳԱՐԵԳԻՆԻ ՍՈՒԼԹԱՆՅԱՆԻՆ ՆՇԱՆԱԿԵԼՈՒ </w:t>
      </w:r>
      <w:r w:rsidR="00B4089C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>» ՈՐՈՇՄԱՆ ԸՆԴՈՒՆՄԱՆ</w:t>
      </w:r>
      <w:r w:rsidR="00E466BB">
        <w:rPr>
          <w:rFonts w:ascii="GHEA Grapalat" w:hAnsi="GHEA Grapalat"/>
          <w:b/>
          <w:lang w:val="hy-AM"/>
        </w:rPr>
        <w:t xml:space="preserve"> ԱՆՀՐԱԺԵՇՏՈՒԹՅԱՆ</w:t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B4089C" w:rsidP="00B4089C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Pr="00B4089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ղեկավարի տեղակալի պաշտոնին Հայկ Գարեգինի Սուլթանյանին նշանակելու </w:t>
      </w:r>
      <w:r>
        <w:rPr>
          <w:rFonts w:ascii="GHEA Grapalat" w:hAnsi="GHEA Grapalat" w:cs="Sylfaen"/>
          <w:lang w:val="af-ZA"/>
        </w:rPr>
        <w:t xml:space="preserve">մասին» </w:t>
      </w:r>
      <w:r w:rsidR="00E466BB">
        <w:rPr>
          <w:rFonts w:ascii="GHEA Grapalat" w:hAnsi="GHEA Grapalat" w:cs="Sylfaen"/>
          <w:lang w:val="hy-AM"/>
        </w:rPr>
        <w:t xml:space="preserve"> ո</w:t>
      </w:r>
      <w:r w:rsidR="001A3D93">
        <w:rPr>
          <w:rFonts w:ascii="GHEA Grapalat" w:hAnsi="GHEA Grapalat" w:cs="Sylfaen"/>
          <w:lang w:val="hy-AM"/>
        </w:rPr>
        <w:t>րոշման</w:t>
      </w:r>
      <w:r w:rsidR="001A3D93">
        <w:rPr>
          <w:rFonts w:ascii="GHEA Grapalat" w:hAnsi="GHEA Grapalat"/>
          <w:lang w:val="hy-AM"/>
        </w:rPr>
        <w:t xml:space="preserve"> ընդունումը պայմանավորված է </w:t>
      </w:r>
      <w:r>
        <w:rPr>
          <w:rFonts w:ascii="GHEA Grapalat" w:hAnsi="GHEA Grapalat" w:cs="Sylfaen"/>
          <w:lang w:val="af-ZA"/>
        </w:rPr>
        <w:t>Գյումրի համայնքի</w:t>
      </w:r>
      <w:r w:rsidRPr="00B4089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ղեկավարի տեղակալի պաշտոնի թափուր տեղը համալրելու անհրաժեշտությամբ:</w:t>
      </w:r>
    </w:p>
    <w:p w:rsidR="00B4089C" w:rsidRDefault="00B4089C" w:rsidP="00B4089C">
      <w:pPr>
        <w:jc w:val="both"/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4089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B4089C" w:rsidRPr="00B4089C">
        <w:rPr>
          <w:rFonts w:ascii="GHEA Grapalat" w:hAnsi="GHEA Grapalat"/>
          <w:b/>
          <w:lang w:val="hy-AM"/>
        </w:rPr>
        <w:t xml:space="preserve">ՂԵԿԱՎԱՐԻ ՏԵՂԱԿԱԼԻ ՊԱՇՏՈՆԻՆ ՀԱՅԿ ԳԱՐԵԳԻՆԻ ՍՈՒԼԹԱՆՅԱՆԻՆ ՆՇԱՆԱԿԵԼՈՒ </w:t>
      </w:r>
      <w:r w:rsidR="00B4089C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C75B82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>
        <w:rPr>
          <w:rFonts w:ascii="GHEA Grapalat" w:hAnsi="GHEA Grapalat"/>
          <w:b/>
          <w:lang w:val="af-ZA"/>
        </w:rPr>
        <w:t>ՓՈՓՈԽՈՒԹՅ</w:t>
      </w:r>
      <w:r w:rsidR="00E466BB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466BB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B4089C" w:rsidRPr="00B4089C">
        <w:rPr>
          <w:rFonts w:ascii="GHEA Grapalat" w:hAnsi="GHEA Grapalat"/>
          <w:lang w:val="af-ZA"/>
        </w:rPr>
        <w:t xml:space="preserve"> </w:t>
      </w:r>
      <w:r w:rsidR="00B4089C">
        <w:rPr>
          <w:rFonts w:ascii="GHEA Grapalat" w:hAnsi="GHEA Grapalat"/>
          <w:lang w:val="hy-AM"/>
        </w:rPr>
        <w:t xml:space="preserve">ղեկավարի տեղակալի պաշտոնին Հայկ Գարեգինի Սուլթանյանին նշանակելու </w:t>
      </w:r>
      <w:r w:rsidR="001A3D93">
        <w:rPr>
          <w:rFonts w:ascii="GHEA Grapalat" w:hAnsi="GHEA Grapalat" w:cs="Sylfaen"/>
          <w:lang w:val="af-ZA"/>
        </w:rPr>
        <w:t>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hy-AM"/>
        </w:rPr>
        <w:t>9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55130"/>
    <w:rsid w:val="00166C6B"/>
    <w:rsid w:val="00171175"/>
    <w:rsid w:val="001A3D93"/>
    <w:rsid w:val="001D0D4A"/>
    <w:rsid w:val="001D5D65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32E4"/>
    <w:rsid w:val="002E544F"/>
    <w:rsid w:val="00330EB8"/>
    <w:rsid w:val="003349A6"/>
    <w:rsid w:val="0035018D"/>
    <w:rsid w:val="0035717E"/>
    <w:rsid w:val="00382468"/>
    <w:rsid w:val="00390F74"/>
    <w:rsid w:val="00397D8D"/>
    <w:rsid w:val="003A3338"/>
    <w:rsid w:val="003C3D36"/>
    <w:rsid w:val="00401C0A"/>
    <w:rsid w:val="00454C11"/>
    <w:rsid w:val="004574B7"/>
    <w:rsid w:val="00461769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11DEA"/>
    <w:rsid w:val="00B2288A"/>
    <w:rsid w:val="00B4089C"/>
    <w:rsid w:val="00B5760E"/>
    <w:rsid w:val="00B6520A"/>
    <w:rsid w:val="00B77CD6"/>
    <w:rsid w:val="00B90B6F"/>
    <w:rsid w:val="00B95B3E"/>
    <w:rsid w:val="00BC1E65"/>
    <w:rsid w:val="00BD3520"/>
    <w:rsid w:val="00BD66E3"/>
    <w:rsid w:val="00C01B55"/>
    <w:rsid w:val="00C15947"/>
    <w:rsid w:val="00C24248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DB3C5A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C0434-9C35-4424-BE85-BEF53D0D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user</cp:lastModifiedBy>
  <cp:revision>113</cp:revision>
  <cp:lastPrinted>2019-06-14T11:09:00Z</cp:lastPrinted>
  <dcterms:created xsi:type="dcterms:W3CDTF">2015-07-16T05:05:00Z</dcterms:created>
  <dcterms:modified xsi:type="dcterms:W3CDTF">2019-06-14T11:14:00Z</dcterms:modified>
</cp:coreProperties>
</file>